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9F" w:rsidRPr="00742879" w:rsidRDefault="00096A9F" w:rsidP="001F34D8">
      <w:pPr>
        <w:pStyle w:val="Dilonadpis1"/>
      </w:pPr>
      <w:bookmarkStart w:id="0" w:name="_Toc371588126"/>
      <w:r w:rsidRPr="00742879">
        <w:t>SČÍTÁNÍ LIDU, DOMŮ A BYTŮ 2011</w:t>
      </w:r>
      <w:bookmarkEnd w:id="0"/>
    </w:p>
    <w:p w:rsidR="00096A9F" w:rsidRPr="00C24253" w:rsidRDefault="00781C23" w:rsidP="00C00640">
      <w:pPr>
        <w:spacing w:after="240"/>
        <w:rPr>
          <w:rFonts w:cs="Arial"/>
          <w:sz w:val="20"/>
          <w:szCs w:val="20"/>
        </w:rPr>
      </w:pPr>
      <w:r w:rsidRPr="00C24253">
        <w:rPr>
          <w:rFonts w:cs="Arial"/>
          <w:sz w:val="20"/>
          <w:szCs w:val="20"/>
        </w:rPr>
        <w:t xml:space="preserve">Sčítání lidu, domů a bytů 2011 v </w:t>
      </w:r>
      <w:r w:rsidR="00096A9F" w:rsidRPr="00C24253">
        <w:rPr>
          <w:rFonts w:cs="Arial"/>
          <w:sz w:val="20"/>
          <w:szCs w:val="20"/>
        </w:rPr>
        <w:t xml:space="preserve">porovnání s předchozím sčítáním </w:t>
      </w:r>
      <w:r w:rsidRPr="00C24253">
        <w:rPr>
          <w:rFonts w:cs="Arial"/>
          <w:sz w:val="20"/>
          <w:szCs w:val="20"/>
        </w:rPr>
        <w:t xml:space="preserve">přináší poměrně výraznou </w:t>
      </w:r>
      <w:r w:rsidR="00096A9F" w:rsidRPr="00C24253">
        <w:rPr>
          <w:rFonts w:cs="Arial"/>
          <w:sz w:val="20"/>
          <w:szCs w:val="20"/>
        </w:rPr>
        <w:t>změn</w:t>
      </w:r>
      <w:r w:rsidRPr="00C24253">
        <w:rPr>
          <w:rFonts w:cs="Arial"/>
          <w:sz w:val="20"/>
          <w:szCs w:val="20"/>
        </w:rPr>
        <w:t>u</w:t>
      </w:r>
      <w:r w:rsidR="00096A9F" w:rsidRPr="00C24253">
        <w:rPr>
          <w:rFonts w:cs="Arial"/>
          <w:sz w:val="20"/>
          <w:szCs w:val="20"/>
        </w:rPr>
        <w:t xml:space="preserve"> techn</w:t>
      </w:r>
      <w:r w:rsidR="00096A9F" w:rsidRPr="00C24253">
        <w:rPr>
          <w:rFonts w:cs="Arial"/>
          <w:sz w:val="20"/>
          <w:szCs w:val="20"/>
        </w:rPr>
        <w:t>o</w:t>
      </w:r>
      <w:r w:rsidR="00096A9F" w:rsidRPr="00C24253">
        <w:rPr>
          <w:rFonts w:cs="Arial"/>
          <w:sz w:val="20"/>
          <w:szCs w:val="20"/>
        </w:rPr>
        <w:t>log</w:t>
      </w:r>
      <w:r w:rsidRPr="00C24253">
        <w:rPr>
          <w:rFonts w:cs="Arial"/>
          <w:sz w:val="20"/>
          <w:szCs w:val="20"/>
        </w:rPr>
        <w:t>ie</w:t>
      </w:r>
      <w:r w:rsidR="00096A9F" w:rsidRPr="00C24253">
        <w:rPr>
          <w:rFonts w:cs="Arial"/>
          <w:sz w:val="20"/>
          <w:szCs w:val="20"/>
        </w:rPr>
        <w:t xml:space="preserve"> přípravy</w:t>
      </w:r>
      <w:r w:rsidRPr="00C24253">
        <w:rPr>
          <w:rFonts w:cs="Arial"/>
          <w:sz w:val="20"/>
          <w:szCs w:val="20"/>
        </w:rPr>
        <w:t xml:space="preserve"> i vlastního</w:t>
      </w:r>
      <w:r w:rsidR="00096A9F" w:rsidRPr="00C24253">
        <w:rPr>
          <w:rFonts w:cs="Arial"/>
          <w:sz w:val="20"/>
          <w:szCs w:val="20"/>
        </w:rPr>
        <w:t xml:space="preserve"> průběh</w:t>
      </w:r>
      <w:r w:rsidRPr="00C24253">
        <w:rPr>
          <w:rFonts w:cs="Arial"/>
          <w:sz w:val="20"/>
          <w:szCs w:val="20"/>
        </w:rPr>
        <w:t>u</w:t>
      </w:r>
      <w:r w:rsidR="00096A9F" w:rsidRPr="00C24253">
        <w:rPr>
          <w:rFonts w:cs="Arial"/>
          <w:sz w:val="20"/>
          <w:szCs w:val="20"/>
        </w:rPr>
        <w:t xml:space="preserve"> terénních prací, </w:t>
      </w:r>
      <w:r w:rsidRPr="00C24253">
        <w:rPr>
          <w:rFonts w:cs="Arial"/>
          <w:sz w:val="20"/>
          <w:szCs w:val="20"/>
        </w:rPr>
        <w:t xml:space="preserve">změnu </w:t>
      </w:r>
      <w:r w:rsidR="00096A9F" w:rsidRPr="00C24253">
        <w:rPr>
          <w:rFonts w:cs="Arial"/>
          <w:sz w:val="20"/>
          <w:szCs w:val="20"/>
        </w:rPr>
        <w:t>technologie pořízení vstupů, oprav dat a zprac</w:t>
      </w:r>
      <w:r w:rsidR="00096A9F" w:rsidRPr="00C24253">
        <w:rPr>
          <w:rFonts w:cs="Arial"/>
          <w:sz w:val="20"/>
          <w:szCs w:val="20"/>
        </w:rPr>
        <w:t>o</w:t>
      </w:r>
      <w:r w:rsidR="00096A9F" w:rsidRPr="00C24253">
        <w:rPr>
          <w:rFonts w:cs="Arial"/>
          <w:sz w:val="20"/>
          <w:szCs w:val="20"/>
        </w:rPr>
        <w:t>vání i for</w:t>
      </w:r>
      <w:r w:rsidRPr="00C24253">
        <w:rPr>
          <w:rFonts w:cs="Arial"/>
          <w:sz w:val="20"/>
          <w:szCs w:val="20"/>
        </w:rPr>
        <w:t>e</w:t>
      </w:r>
      <w:r w:rsidR="00096A9F" w:rsidRPr="00C24253">
        <w:rPr>
          <w:rFonts w:cs="Arial"/>
          <w:sz w:val="20"/>
          <w:szCs w:val="20"/>
        </w:rPr>
        <w:t xml:space="preserve">m diseminace výstupů. Změnily se i některé metodické přístupy, které se přiblížily ve větší míře mezinárodním doporučením. </w:t>
      </w:r>
    </w:p>
    <w:p w:rsidR="00096A9F" w:rsidRPr="00C24253" w:rsidRDefault="00096A9F" w:rsidP="008A1E7A">
      <w:pPr>
        <w:spacing w:after="120"/>
        <w:rPr>
          <w:sz w:val="20"/>
          <w:szCs w:val="20"/>
        </w:rPr>
      </w:pPr>
      <w:r w:rsidRPr="00C24253">
        <w:rPr>
          <w:b/>
          <w:sz w:val="20"/>
          <w:szCs w:val="20"/>
        </w:rPr>
        <w:t>K hlavním inovacím sčítání lidu, domů a bytů 2011 patřily</w:t>
      </w:r>
      <w:r w:rsidRPr="00C24253">
        <w:rPr>
          <w:sz w:val="20"/>
          <w:szCs w:val="20"/>
        </w:rPr>
        <w:t xml:space="preserve"> </w:t>
      </w:r>
    </w:p>
    <w:p w:rsidR="00096A9F" w:rsidRPr="00C24253" w:rsidRDefault="00096A9F" w:rsidP="008A1E7A">
      <w:pPr>
        <w:pStyle w:val="odrkyzlevaodsazeno0"/>
      </w:pPr>
      <w:r w:rsidRPr="00C24253">
        <w:t xml:space="preserve">dodavatelské formy zajištění převážné části terénních prací, aplikací </w:t>
      </w:r>
      <w:r w:rsidR="009C373D">
        <w:t>pro pořízení a zpracování dat i </w:t>
      </w:r>
      <w:r w:rsidRPr="00C24253">
        <w:t>přípravy a realizace informační a komunikační kampaně sčítání</w:t>
      </w:r>
    </w:p>
    <w:p w:rsidR="00096A9F" w:rsidRPr="00C24253" w:rsidRDefault="00096A9F" w:rsidP="008A1E7A">
      <w:pPr>
        <w:pStyle w:val="odrkyzlevaodsazeno0"/>
      </w:pPr>
      <w:r w:rsidRPr="00C24253">
        <w:t>využití dostupných administrativních zdrojů v přípravě sčítání, předvyplnění formulářů, při kontrolách vstupů a doplnění resp. rozšíření údajů</w:t>
      </w:r>
    </w:p>
    <w:p w:rsidR="00096A9F" w:rsidRPr="00C24253" w:rsidRDefault="00096A9F" w:rsidP="008A1E7A">
      <w:pPr>
        <w:pStyle w:val="odrkyzlevaodsazeno0"/>
      </w:pPr>
      <w:r w:rsidRPr="00C24253">
        <w:t>elektronické formuláře a využití datových schránek pro velké vlastníky nemovitostí</w:t>
      </w:r>
    </w:p>
    <w:p w:rsidR="00096A9F" w:rsidRPr="00C24253" w:rsidRDefault="00096A9F" w:rsidP="008A1E7A">
      <w:pPr>
        <w:pStyle w:val="odrkyzlevaodsazeno0"/>
      </w:pPr>
      <w:r w:rsidRPr="00C24253">
        <w:t>sledování životního cyklu jednotlivých sčítacích formulářů (od vygenerování tiskové věty až po skart</w:t>
      </w:r>
      <w:r w:rsidRPr="00C24253">
        <w:t>a</w:t>
      </w:r>
      <w:r w:rsidRPr="00C24253">
        <w:t xml:space="preserve">ci formuláře) </w:t>
      </w:r>
    </w:p>
    <w:p w:rsidR="00096A9F" w:rsidRPr="00C24253" w:rsidRDefault="00096A9F" w:rsidP="008A1E7A">
      <w:pPr>
        <w:pStyle w:val="odrkyzlevaodsazeno0"/>
      </w:pPr>
      <w:r w:rsidRPr="00C24253">
        <w:t xml:space="preserve">nové postupy v rámci zpracování a nové formy diseminace výstupů </w:t>
      </w:r>
    </w:p>
    <w:p w:rsidR="00096A9F" w:rsidRPr="00C24253" w:rsidRDefault="00096A9F" w:rsidP="002E272A">
      <w:pPr>
        <w:pStyle w:val="odrkyzlevaodsazeno0"/>
      </w:pPr>
      <w:r w:rsidRPr="00C24253">
        <w:t>hodnocení kvality sčítání (věcné i statistické) formou speciálních indikátorů</w:t>
      </w:r>
    </w:p>
    <w:p w:rsidR="00096A9F" w:rsidRPr="00C24253" w:rsidRDefault="00096A9F" w:rsidP="008A1E7A">
      <w:pPr>
        <w:pStyle w:val="Odstavecseseznamem"/>
        <w:spacing w:before="240" w:after="120"/>
        <w:ind w:left="0"/>
        <w:jc w:val="both"/>
        <w:rPr>
          <w:sz w:val="20"/>
          <w:szCs w:val="20"/>
        </w:rPr>
      </w:pPr>
      <w:r w:rsidRPr="00C24253">
        <w:rPr>
          <w:sz w:val="20"/>
          <w:szCs w:val="20"/>
        </w:rPr>
        <w:t>Zásadními obsahovými změnami byly</w:t>
      </w:r>
    </w:p>
    <w:p w:rsidR="00096A9F" w:rsidRPr="00C24253" w:rsidRDefault="00096A9F" w:rsidP="008A1E7A">
      <w:pPr>
        <w:pStyle w:val="odrkyzlevaodsazeno0"/>
      </w:pPr>
      <w:r w:rsidRPr="00C24253">
        <w:t xml:space="preserve">uplatnění konceptu obvykle bydlícího obyvatelstva </w:t>
      </w:r>
    </w:p>
    <w:p w:rsidR="00096A9F" w:rsidRPr="00C24253" w:rsidRDefault="00096A9F" w:rsidP="008A1E7A">
      <w:pPr>
        <w:pStyle w:val="odrkyzlevaodsazeno0"/>
      </w:pPr>
      <w:r w:rsidRPr="00C24253">
        <w:t>omezení konstrukce domácností pouze na domácnosti hospodařící</w:t>
      </w:r>
      <w:r w:rsidR="00076FB4" w:rsidRPr="00C24253">
        <w:t>.</w:t>
      </w:r>
    </w:p>
    <w:p w:rsidR="00096A9F" w:rsidRPr="00650A13" w:rsidRDefault="00D92993" w:rsidP="001F34D8">
      <w:pPr>
        <w:pStyle w:val="Nadpis3"/>
      </w:pPr>
      <w:bookmarkStart w:id="1" w:name="_Toc371588127"/>
      <w:r w:rsidRPr="00650A13">
        <w:t>Právní úprava sčítání</w:t>
      </w:r>
      <w:bookmarkEnd w:id="1"/>
      <w:r w:rsidRPr="00650A13">
        <w:t xml:space="preserve"> </w:t>
      </w:r>
    </w:p>
    <w:p w:rsidR="008A1E7A" w:rsidRPr="00C24253" w:rsidRDefault="00096A9F" w:rsidP="008A1E7A">
      <w:pPr>
        <w:spacing w:after="120"/>
        <w:rPr>
          <w:rFonts w:cs="Arial"/>
          <w:sz w:val="20"/>
          <w:szCs w:val="20"/>
        </w:rPr>
      </w:pPr>
      <w:r w:rsidRPr="00C24253">
        <w:rPr>
          <w:rFonts w:cs="Arial"/>
          <w:sz w:val="20"/>
          <w:szCs w:val="20"/>
        </w:rPr>
        <w:t xml:space="preserve">Sčítání 2011 se stejně jako v roce 2001 řídilo samostatným zákonem. </w:t>
      </w:r>
      <w:r w:rsidR="009C373D">
        <w:rPr>
          <w:rFonts w:cs="Arial"/>
          <w:sz w:val="20"/>
          <w:szCs w:val="20"/>
        </w:rPr>
        <w:t>Práce na věcném záměru zákona o </w:t>
      </w:r>
      <w:r w:rsidRPr="00C24253">
        <w:rPr>
          <w:rFonts w:cs="Arial"/>
          <w:sz w:val="20"/>
          <w:szCs w:val="20"/>
        </w:rPr>
        <w:t>sčítání začaly již v lednu roku 2006. Bylo posuzováno několik variant, především ve vztahu ke způsobu zabezpečení terénních prací, úloze měst a obcí při sčítání a míře dodavatelského zajištění některých prací. Paralelně byl zvažován obsah sčítání a metodika zjišťovaných údajů. Legislativní příprava byla zároveň k</w:t>
      </w:r>
      <w:r w:rsidRPr="00C24253">
        <w:rPr>
          <w:rFonts w:cs="Arial"/>
          <w:sz w:val="20"/>
          <w:szCs w:val="20"/>
        </w:rPr>
        <w:t>o</w:t>
      </w:r>
      <w:r w:rsidRPr="00C24253">
        <w:rPr>
          <w:rFonts w:cs="Arial"/>
          <w:sz w:val="20"/>
          <w:szCs w:val="20"/>
        </w:rPr>
        <w:t>ordinována s probíhajícími pracemi na Doporučeních KES ke sčítání v roce 2010 a posléze jejich přijatým konečným zněním. Návrh věcného záměru zákona schválila vláda ČR usnesením č. 1032 ze dne 12. září 2007 včetně návrhu rozpočtu a uložila předsedovi ČSÚ předložit paragrafové znění do 30. června 2008.</w:t>
      </w:r>
    </w:p>
    <w:p w:rsidR="00096A9F" w:rsidRPr="00C24253" w:rsidRDefault="00096A9F" w:rsidP="004D11DC">
      <w:pPr>
        <w:rPr>
          <w:rFonts w:cs="Arial"/>
          <w:sz w:val="20"/>
        </w:rPr>
      </w:pPr>
      <w:r w:rsidRPr="00C24253">
        <w:rPr>
          <w:rFonts w:cs="Arial"/>
          <w:sz w:val="20"/>
        </w:rPr>
        <w:t>Návrh paragrafového znění zákona byl schválen vládou usnesením č. 1146 ze dne 9. září 2008 s úkolem pro ministra financí odůvodnit návrh na jednání obou komor Parlamentu ČR. Při hlasování v Poslanecké sněmovně, jež proběhlo 19. června 2009, z přítomných 99 poslanců hlasovalo pro přijetí zákona 93, proti byl 1 hlas. V Senátu proběhlo hlasování dne 22. července 2009 a návrh byl sc</w:t>
      </w:r>
      <w:r w:rsidR="009C373D">
        <w:rPr>
          <w:rFonts w:cs="Arial"/>
          <w:sz w:val="20"/>
        </w:rPr>
        <w:t>hválen 51 hlasy z přítomných 60 </w:t>
      </w:r>
      <w:r w:rsidRPr="00C24253">
        <w:rPr>
          <w:rFonts w:cs="Arial"/>
          <w:sz w:val="20"/>
        </w:rPr>
        <w:t>senátorů, 1 hlas byl proti. Po podpisu prezidentem republiky byl zákon publikován ve Sbírce zákonů</w:t>
      </w:r>
      <w:r w:rsidR="00E97043">
        <w:rPr>
          <w:rFonts w:cs="Arial"/>
          <w:sz w:val="20"/>
        </w:rPr>
        <w:t xml:space="preserve"> pod číslem</w:t>
      </w:r>
      <w:r w:rsidR="004D11DC" w:rsidRPr="00C24253">
        <w:rPr>
          <w:rFonts w:cs="Arial"/>
          <w:sz w:val="20"/>
        </w:rPr>
        <w:t xml:space="preserve"> 296/2009 Sb., o sčítání lidu, domů a bytů v roce 2011 </w:t>
      </w:r>
      <w:r w:rsidR="00EB48F8">
        <w:rPr>
          <w:rFonts w:cs="Arial"/>
          <w:sz w:val="20"/>
        </w:rPr>
        <w:t>(</w:t>
      </w:r>
      <w:r w:rsidR="004D11DC" w:rsidRPr="00C24253">
        <w:rPr>
          <w:rFonts w:cs="Arial"/>
          <w:sz w:val="20"/>
        </w:rPr>
        <w:t>viz příloha</w:t>
      </w:r>
      <w:r w:rsidR="00EB48F8">
        <w:rPr>
          <w:rFonts w:cs="Arial"/>
          <w:sz w:val="20"/>
        </w:rPr>
        <w:t>).</w:t>
      </w:r>
    </w:p>
    <w:p w:rsidR="00096A9F" w:rsidRPr="00C24253" w:rsidRDefault="00096A9F" w:rsidP="008A1E7A">
      <w:pPr>
        <w:spacing w:before="120" w:after="120"/>
        <w:rPr>
          <w:rFonts w:cs="Arial"/>
          <w:b/>
          <w:sz w:val="20"/>
          <w:szCs w:val="20"/>
        </w:rPr>
      </w:pPr>
      <w:r w:rsidRPr="00C24253">
        <w:rPr>
          <w:rFonts w:cs="Arial"/>
          <w:b/>
          <w:sz w:val="20"/>
          <w:szCs w:val="20"/>
        </w:rPr>
        <w:t>Zákon zakotvil především</w:t>
      </w:r>
    </w:p>
    <w:p w:rsidR="00096A9F" w:rsidRPr="00C24253" w:rsidRDefault="00096A9F" w:rsidP="002E272A">
      <w:pPr>
        <w:pStyle w:val="odrkyzlevaodsazeno0"/>
        <w:spacing w:after="100"/>
      </w:pPr>
      <w:r w:rsidRPr="00C24253">
        <w:t>termín sčítání (půlnoc z pátku 25. na sobotu 26. března 2011)</w:t>
      </w:r>
    </w:p>
    <w:p w:rsidR="00096A9F" w:rsidRPr="00C24253" w:rsidRDefault="00096A9F" w:rsidP="002E272A">
      <w:pPr>
        <w:pStyle w:val="odrkyzlevaodsazeno0"/>
        <w:spacing w:after="100"/>
      </w:pPr>
      <w:r w:rsidRPr="00C24253">
        <w:t>rozsah sčítání, tj. na které osoby, domy a byty se sčítání vztahuje</w:t>
      </w:r>
    </w:p>
    <w:p w:rsidR="00096A9F" w:rsidRPr="00C24253" w:rsidRDefault="00096A9F" w:rsidP="002E272A">
      <w:pPr>
        <w:pStyle w:val="odrkyzlevaodsazeno0"/>
        <w:spacing w:after="100"/>
      </w:pPr>
      <w:r w:rsidRPr="00C24253">
        <w:t>obsah sčítání, tj. taxativní výčet všech otázek obsažených na sčítacích formulářích</w:t>
      </w:r>
    </w:p>
    <w:p w:rsidR="00096A9F" w:rsidRPr="00C24253" w:rsidRDefault="00096A9F" w:rsidP="002E272A">
      <w:pPr>
        <w:pStyle w:val="odrkyzlevaodsazeno0"/>
        <w:spacing w:after="100"/>
      </w:pPr>
      <w:r w:rsidRPr="00C24253">
        <w:t>stanovení okruhu osob povinných sdělit údaje zjišťované sčítáním</w:t>
      </w:r>
    </w:p>
    <w:p w:rsidR="00096A9F" w:rsidRPr="00C24253" w:rsidRDefault="00096A9F" w:rsidP="002E272A">
      <w:pPr>
        <w:pStyle w:val="odrkyzlevaodsazeno0"/>
        <w:spacing w:after="100"/>
      </w:pPr>
      <w:r w:rsidRPr="00C24253">
        <w:t>úkoly Českého statistického úřadu, dalších ústředních úřadů, krajů a obcí</w:t>
      </w:r>
    </w:p>
    <w:p w:rsidR="00096A9F" w:rsidRPr="00C24253" w:rsidRDefault="00096A9F" w:rsidP="002E272A">
      <w:pPr>
        <w:pStyle w:val="odrkyzlevaodsazeno0"/>
        <w:spacing w:after="100"/>
      </w:pPr>
      <w:r w:rsidRPr="00C24253">
        <w:t>termíny pro distribuci a sběr sčítacích formulářů</w:t>
      </w:r>
    </w:p>
    <w:p w:rsidR="00096A9F" w:rsidRPr="00C24253" w:rsidRDefault="00096A9F" w:rsidP="002E272A">
      <w:pPr>
        <w:pStyle w:val="odrkyzlevaodsazeno0"/>
        <w:spacing w:after="100"/>
      </w:pPr>
      <w:r w:rsidRPr="00C24253">
        <w:t>povinnosti sčítacích komisařů</w:t>
      </w:r>
    </w:p>
    <w:p w:rsidR="00096A9F" w:rsidRPr="00C24253" w:rsidRDefault="00096A9F" w:rsidP="002E272A">
      <w:pPr>
        <w:pStyle w:val="odrkyzlevaodsazeno0"/>
        <w:spacing w:after="100"/>
      </w:pPr>
      <w:r w:rsidRPr="00C24253">
        <w:t>ustanovení o ochraně údajů a text slibu mlčenlivosti</w:t>
      </w:r>
    </w:p>
    <w:p w:rsidR="00096A9F" w:rsidRPr="00C24253" w:rsidRDefault="00096A9F" w:rsidP="002E272A">
      <w:pPr>
        <w:pStyle w:val="odrkyzlevaodsazeno0"/>
        <w:spacing w:after="100"/>
      </w:pPr>
      <w:r w:rsidRPr="00C24253">
        <w:t>podmínky zpracování a zpřístupnění údajů sčítání</w:t>
      </w:r>
    </w:p>
    <w:p w:rsidR="00096A9F" w:rsidRPr="00C24253" w:rsidRDefault="00096A9F" w:rsidP="002E272A">
      <w:pPr>
        <w:pStyle w:val="odrkyzlevaodsazeno0"/>
        <w:spacing w:after="100"/>
      </w:pPr>
      <w:r w:rsidRPr="00C24253">
        <w:t>přestupky a správní delikty</w:t>
      </w:r>
    </w:p>
    <w:p w:rsidR="00096A9F" w:rsidRPr="00C24253" w:rsidRDefault="00096A9F" w:rsidP="00377601">
      <w:pPr>
        <w:pStyle w:val="odrkyzlevaodsazeno0"/>
      </w:pPr>
      <w:r w:rsidRPr="00C24253">
        <w:t>zmocnění k vydání prováděcího předpisu (vyhlášky)</w:t>
      </w:r>
      <w:r w:rsidR="00E97043">
        <w:t>.</w:t>
      </w:r>
    </w:p>
    <w:p w:rsidR="00096A9F" w:rsidRPr="00C24253" w:rsidRDefault="00096A9F" w:rsidP="00FF466D">
      <w:pPr>
        <w:spacing w:after="120"/>
        <w:rPr>
          <w:rFonts w:cs="Arial"/>
          <w:sz w:val="20"/>
          <w:szCs w:val="20"/>
        </w:rPr>
      </w:pPr>
      <w:r w:rsidRPr="00C24253">
        <w:rPr>
          <w:rFonts w:cs="Arial"/>
          <w:sz w:val="20"/>
          <w:szCs w:val="20"/>
        </w:rPr>
        <w:lastRenderedPageBreak/>
        <w:t>V rámci § 6, který stanovil obsah sčítání</w:t>
      </w:r>
      <w:r w:rsidR="002311FE" w:rsidRPr="00C24253">
        <w:rPr>
          <w:rFonts w:cs="Arial"/>
          <w:sz w:val="20"/>
          <w:szCs w:val="20"/>
        </w:rPr>
        <w:t>,</w:t>
      </w:r>
      <w:r w:rsidRPr="00C24253">
        <w:rPr>
          <w:rFonts w:cs="Arial"/>
          <w:sz w:val="20"/>
          <w:szCs w:val="20"/>
        </w:rPr>
        <w:t xml:space="preserve"> byly samostatně uvedeny jako </w:t>
      </w:r>
      <w:r w:rsidR="009C373D">
        <w:rPr>
          <w:rFonts w:cs="Arial"/>
          <w:sz w:val="20"/>
          <w:szCs w:val="20"/>
        </w:rPr>
        <w:t>dobrovolné údaje o národnosti a </w:t>
      </w:r>
      <w:r w:rsidRPr="00C24253">
        <w:rPr>
          <w:rFonts w:cs="Arial"/>
          <w:sz w:val="20"/>
          <w:szCs w:val="20"/>
        </w:rPr>
        <w:t>náboženské víře. Tato dobrovolnost byla poté uvedena u příslušných otázek i na sčítacím formuláři.</w:t>
      </w:r>
    </w:p>
    <w:p w:rsidR="00096A9F" w:rsidRPr="00C24253" w:rsidRDefault="00096A9F" w:rsidP="00FF466D">
      <w:pPr>
        <w:pStyle w:val="Odstavecseseznamem"/>
        <w:spacing w:after="120"/>
        <w:ind w:left="0"/>
        <w:contextualSpacing w:val="0"/>
        <w:jc w:val="both"/>
        <w:rPr>
          <w:b w:val="0"/>
          <w:sz w:val="20"/>
          <w:szCs w:val="20"/>
        </w:rPr>
      </w:pPr>
      <w:r w:rsidRPr="00C24253">
        <w:rPr>
          <w:b w:val="0"/>
          <w:sz w:val="20"/>
          <w:szCs w:val="20"/>
        </w:rPr>
        <w:t>Zákon obsahoval v § 30 zmocnění ČSÚ k vydání prováděcí vyhlášky k některým jeho ustanovením. Před</w:t>
      </w:r>
      <w:r w:rsidRPr="00C24253">
        <w:rPr>
          <w:b w:val="0"/>
          <w:sz w:val="20"/>
          <w:szCs w:val="20"/>
        </w:rPr>
        <w:t>e</w:t>
      </w:r>
      <w:r w:rsidRPr="00C24253">
        <w:rPr>
          <w:b w:val="0"/>
          <w:sz w:val="20"/>
          <w:szCs w:val="20"/>
        </w:rPr>
        <w:t xml:space="preserve">vším definitivní podoba sčítacích formulářů mohla být doladěna až po vyhodnocení zkušebního sčítání, kde byla testována obsahová srozumitelnost formulářů pro sčítané osoby a také jejich grafická podoba. Rovněž okruh problémů souvisejících se zavedením elektronických sčítacích formulářů nemohl být z objektivních důvodů vyřešen přímo ve znění zákona. </w:t>
      </w:r>
    </w:p>
    <w:p w:rsidR="00096A9F" w:rsidRPr="00C24253" w:rsidRDefault="00096A9F" w:rsidP="00FF466D">
      <w:pPr>
        <w:pStyle w:val="Odstavecseseznamem"/>
        <w:spacing w:after="120"/>
        <w:ind w:left="0"/>
        <w:contextualSpacing w:val="0"/>
        <w:jc w:val="both"/>
        <w:rPr>
          <w:b w:val="0"/>
          <w:sz w:val="20"/>
          <w:szCs w:val="20"/>
        </w:rPr>
      </w:pPr>
      <w:r w:rsidRPr="00C24253">
        <w:rPr>
          <w:sz w:val="20"/>
          <w:szCs w:val="20"/>
        </w:rPr>
        <w:t xml:space="preserve">Vyhláška ze dne 15. září 2010 k provedení některých ustanovení </w:t>
      </w:r>
      <w:r w:rsidR="00855589">
        <w:rPr>
          <w:sz w:val="20"/>
          <w:szCs w:val="20"/>
        </w:rPr>
        <w:t>Z</w:t>
      </w:r>
      <w:r w:rsidRPr="00C24253">
        <w:rPr>
          <w:sz w:val="20"/>
          <w:szCs w:val="20"/>
        </w:rPr>
        <w:t xml:space="preserve">ákona č. 296/2009 Sb., o sčítání lidu, domů a bytů v roce 2011 </w:t>
      </w:r>
      <w:r w:rsidRPr="00C24253">
        <w:rPr>
          <w:b w:val="0"/>
          <w:sz w:val="20"/>
          <w:szCs w:val="20"/>
        </w:rPr>
        <w:t>byla zveřejněna ve Sbírce zákonů pod číslem 279 (viz příloha</w:t>
      </w:r>
      <w:r w:rsidR="001F5768" w:rsidRPr="00C24253">
        <w:rPr>
          <w:b w:val="0"/>
          <w:sz w:val="20"/>
          <w:szCs w:val="20"/>
        </w:rPr>
        <w:t>)</w:t>
      </w:r>
      <w:r w:rsidRPr="00C24253">
        <w:rPr>
          <w:b w:val="0"/>
          <w:sz w:val="20"/>
          <w:szCs w:val="20"/>
        </w:rPr>
        <w:t>.</w:t>
      </w:r>
    </w:p>
    <w:p w:rsidR="00096A9F" w:rsidRPr="00C24253" w:rsidRDefault="00096A9F" w:rsidP="008A1E7A">
      <w:pPr>
        <w:spacing w:after="120"/>
        <w:rPr>
          <w:rFonts w:cs="Arial"/>
          <w:b/>
          <w:sz w:val="20"/>
          <w:szCs w:val="20"/>
        </w:rPr>
      </w:pPr>
      <w:r w:rsidRPr="00C24253">
        <w:rPr>
          <w:rFonts w:cs="Arial"/>
          <w:b/>
          <w:sz w:val="20"/>
          <w:szCs w:val="20"/>
        </w:rPr>
        <w:t xml:space="preserve">Obsahem prováděcí vyhlášky k zákonu jsou </w:t>
      </w:r>
    </w:p>
    <w:p w:rsidR="00096A9F" w:rsidRPr="00C24253" w:rsidRDefault="00096A9F" w:rsidP="008A1E7A">
      <w:pPr>
        <w:pStyle w:val="odrkyzlevaodsazeno0"/>
      </w:pPr>
      <w:r w:rsidRPr="00C24253">
        <w:t>vzory sčítacích formulářů v listinné podobě</w:t>
      </w:r>
    </w:p>
    <w:p w:rsidR="00096A9F" w:rsidRPr="00C24253" w:rsidRDefault="00096A9F" w:rsidP="008A1E7A">
      <w:pPr>
        <w:pStyle w:val="odrkyzlevaodsazeno0"/>
      </w:pPr>
      <w:r w:rsidRPr="00C24253">
        <w:t>vzor průkazu sčítacího komisaře</w:t>
      </w:r>
    </w:p>
    <w:p w:rsidR="00096A9F" w:rsidRPr="00C24253" w:rsidRDefault="00096A9F" w:rsidP="008A1E7A">
      <w:pPr>
        <w:pStyle w:val="odrkyzlevaodsazeno0"/>
      </w:pPr>
      <w:r w:rsidRPr="00C24253">
        <w:t>ustanovení o zavedení evidenčního kódu sčítacího formuláře</w:t>
      </w:r>
    </w:p>
    <w:p w:rsidR="00096A9F" w:rsidRPr="00C24253" w:rsidRDefault="00096A9F" w:rsidP="008A1E7A">
      <w:pPr>
        <w:pStyle w:val="odrkyzlevaodsazeno0"/>
      </w:pPr>
      <w:r w:rsidRPr="00C24253">
        <w:t>definice elektronických sčítacích formulářů</w:t>
      </w:r>
      <w:r w:rsidR="00FF466D" w:rsidRPr="00C24253">
        <w:t>.</w:t>
      </w:r>
      <w:r w:rsidRPr="00C24253">
        <w:t xml:space="preserve"> </w:t>
      </w:r>
    </w:p>
    <w:p w:rsidR="00096A9F" w:rsidRPr="00C24253" w:rsidRDefault="00096A9F" w:rsidP="00EF105C">
      <w:pPr>
        <w:rPr>
          <w:rFonts w:cs="Arial"/>
          <w:sz w:val="20"/>
          <w:szCs w:val="20"/>
        </w:rPr>
      </w:pPr>
      <w:r w:rsidRPr="00C24253">
        <w:rPr>
          <w:rFonts w:cs="Arial"/>
          <w:sz w:val="20"/>
          <w:szCs w:val="20"/>
        </w:rPr>
        <w:t>Schválený zákon a prováděcí vyhláška se staly základními legislativními dokumenty, od nich</w:t>
      </w:r>
      <w:r w:rsidR="001F5768" w:rsidRPr="00C24253">
        <w:rPr>
          <w:rFonts w:cs="Arial"/>
          <w:sz w:val="20"/>
          <w:szCs w:val="20"/>
        </w:rPr>
        <w:t>ž</w:t>
      </w:r>
      <w:r w:rsidRPr="00C24253">
        <w:rPr>
          <w:rFonts w:cs="Arial"/>
          <w:sz w:val="20"/>
          <w:szCs w:val="20"/>
        </w:rPr>
        <w:t xml:space="preserve"> se odvíjelo další řešení celého projektu sčítání 2011.</w:t>
      </w:r>
    </w:p>
    <w:p w:rsidR="00096A9F" w:rsidRPr="00C24253" w:rsidRDefault="00217BE5" w:rsidP="001F34D8">
      <w:pPr>
        <w:pStyle w:val="Nadpis3"/>
      </w:pPr>
      <w:bookmarkStart w:id="2" w:name="_Toc368586436"/>
      <w:bookmarkStart w:id="3" w:name="_Toc371588128"/>
      <w:r w:rsidRPr="00C24253">
        <w:t>Mezinárodní souvislosti</w:t>
      </w:r>
      <w:bookmarkEnd w:id="2"/>
      <w:bookmarkEnd w:id="3"/>
      <w:r w:rsidRPr="00C24253">
        <w:t xml:space="preserve"> </w:t>
      </w:r>
    </w:p>
    <w:p w:rsidR="00A87CF3" w:rsidRPr="00C24253" w:rsidRDefault="00096A9F" w:rsidP="008761B5">
      <w:pPr>
        <w:spacing w:after="120"/>
        <w:rPr>
          <w:sz w:val="20"/>
          <w:szCs w:val="20"/>
        </w:rPr>
      </w:pPr>
      <w:r w:rsidRPr="00C24253">
        <w:rPr>
          <w:sz w:val="20"/>
          <w:szCs w:val="20"/>
        </w:rPr>
        <w:t>Organizace spojených národů schválila na zasedání své Ekonomické a Sociální rady 22. července 2005 rezoluci Světový program sčítání lidu, domů a bytů kolem roku 2010</w:t>
      </w:r>
      <w:r w:rsidRPr="00C24253">
        <w:rPr>
          <w:sz w:val="20"/>
          <w:szCs w:val="20"/>
          <w:vertAlign w:val="superscript"/>
        </w:rPr>
        <w:footnoteReference w:id="1"/>
      </w:r>
      <w:r w:rsidRPr="00C24253">
        <w:rPr>
          <w:sz w:val="20"/>
          <w:szCs w:val="20"/>
        </w:rPr>
        <w:t xml:space="preserve">, která stanovila základní parametry provedení sčítání ve všech státech a územích světa. Za referenční období </w:t>
      </w:r>
      <w:r w:rsidR="009C373D">
        <w:rPr>
          <w:sz w:val="20"/>
          <w:szCs w:val="20"/>
        </w:rPr>
        <w:t>bylo stanoveno rozmezí let 2005 </w:t>
      </w:r>
      <w:r w:rsidRPr="00C24253">
        <w:rPr>
          <w:sz w:val="20"/>
          <w:szCs w:val="20"/>
        </w:rPr>
        <w:t>– 2014. V návaznosti na toto rozhodnutí byl pro státy Evropské hospodářské komise OSN (EHK) zpr</w:t>
      </w:r>
      <w:r w:rsidRPr="00C24253">
        <w:rPr>
          <w:sz w:val="20"/>
          <w:szCs w:val="20"/>
        </w:rPr>
        <w:t>a</w:t>
      </w:r>
      <w:r w:rsidRPr="00C24253">
        <w:rPr>
          <w:sz w:val="20"/>
          <w:szCs w:val="20"/>
        </w:rPr>
        <w:t>cován dokument Doporučení Konference evropských statistiků (KES) ke sčítání lidu, domů a bytů kolem roku 2010</w:t>
      </w:r>
      <w:r w:rsidRPr="00EB48F8">
        <w:rPr>
          <w:sz w:val="20"/>
          <w:szCs w:val="20"/>
          <w:vertAlign w:val="superscript"/>
        </w:rPr>
        <w:footnoteReference w:id="2"/>
      </w:r>
      <w:r w:rsidRPr="00C24253">
        <w:rPr>
          <w:sz w:val="20"/>
          <w:szCs w:val="20"/>
        </w:rPr>
        <w:t xml:space="preserve">, který je společným dílem EHK OSN a Eurostatu. </w:t>
      </w:r>
    </w:p>
    <w:p w:rsidR="00096A9F" w:rsidRPr="00C24253" w:rsidRDefault="00096A9F" w:rsidP="008761B5">
      <w:pPr>
        <w:spacing w:after="120"/>
        <w:rPr>
          <w:sz w:val="20"/>
          <w:szCs w:val="20"/>
        </w:rPr>
      </w:pPr>
      <w:r w:rsidRPr="00C24253">
        <w:rPr>
          <w:sz w:val="20"/>
          <w:szCs w:val="20"/>
        </w:rPr>
        <w:t xml:space="preserve">Z obsahového hlediska se členské státy </w:t>
      </w:r>
      <w:r w:rsidR="00E97043">
        <w:rPr>
          <w:sz w:val="20"/>
          <w:szCs w:val="20"/>
        </w:rPr>
        <w:t>EHK</w:t>
      </w:r>
      <w:r w:rsidRPr="00C24253">
        <w:rPr>
          <w:sz w:val="20"/>
          <w:szCs w:val="20"/>
        </w:rPr>
        <w:t xml:space="preserve"> shodly na výčtu tzv. „core“ a „non-core“ (tj. klíčových a dopl</w:t>
      </w:r>
      <w:r w:rsidRPr="00C24253">
        <w:rPr>
          <w:sz w:val="20"/>
          <w:szCs w:val="20"/>
        </w:rPr>
        <w:t>ň</w:t>
      </w:r>
      <w:r w:rsidRPr="00C24253">
        <w:rPr>
          <w:sz w:val="20"/>
          <w:szCs w:val="20"/>
        </w:rPr>
        <w:t>kových) témat. Na rozdíl od Doporučení OSN neobsahují Doporučení KES vzory požadovaných výstupních tabelací a obsahová konzistence výstupů je zajištěna prostřednictvím tzv. hyperkrychlí, což je soubor je</w:t>
      </w:r>
      <w:r w:rsidRPr="00C24253">
        <w:rPr>
          <w:sz w:val="20"/>
          <w:szCs w:val="20"/>
        </w:rPr>
        <w:t>d</w:t>
      </w:r>
      <w:r w:rsidRPr="00C24253">
        <w:rPr>
          <w:sz w:val="20"/>
          <w:szCs w:val="20"/>
        </w:rPr>
        <w:t xml:space="preserve">notně definovaných dat, předávaných Eurostatu. </w:t>
      </w:r>
    </w:p>
    <w:p w:rsidR="002E4032" w:rsidRPr="00C24253" w:rsidRDefault="00096A9F" w:rsidP="008761B5">
      <w:pPr>
        <w:pStyle w:val="Odstavecseseznamem"/>
        <w:spacing w:after="120"/>
        <w:ind w:left="0"/>
        <w:contextualSpacing w:val="0"/>
        <w:jc w:val="both"/>
        <w:rPr>
          <w:b w:val="0"/>
          <w:bCs/>
          <w:sz w:val="20"/>
          <w:szCs w:val="20"/>
          <w:lang w:eastAsia="cs-CZ"/>
        </w:rPr>
      </w:pPr>
      <w:r w:rsidRPr="00C24253">
        <w:rPr>
          <w:b w:val="0"/>
          <w:sz w:val="20"/>
          <w:szCs w:val="20"/>
        </w:rPr>
        <w:t xml:space="preserve">V roce 2008 došlo k přijetí Nařízení Evropského parlamentu a Rady (EU) </w:t>
      </w:r>
      <w:r w:rsidRPr="00C24253">
        <w:rPr>
          <w:b w:val="0"/>
          <w:bCs/>
          <w:sz w:val="20"/>
          <w:szCs w:val="20"/>
          <w:lang w:eastAsia="cs-CZ"/>
        </w:rPr>
        <w:t>č. 763/2008</w:t>
      </w:r>
      <w:r w:rsidRPr="00C24253">
        <w:rPr>
          <w:rStyle w:val="Znakapoznpodarou"/>
          <w:b w:val="0"/>
          <w:bCs/>
          <w:sz w:val="20"/>
          <w:szCs w:val="20"/>
          <w:lang w:eastAsia="cs-CZ"/>
        </w:rPr>
        <w:footnoteReference w:id="3"/>
      </w:r>
      <w:r w:rsidR="009C373D">
        <w:rPr>
          <w:b w:val="0"/>
          <w:bCs/>
          <w:sz w:val="20"/>
          <w:szCs w:val="20"/>
          <w:lang w:eastAsia="cs-CZ"/>
        </w:rPr>
        <w:t xml:space="preserve"> a v dalších letech i </w:t>
      </w:r>
      <w:r w:rsidRPr="00C24253">
        <w:rPr>
          <w:b w:val="0"/>
          <w:bCs/>
          <w:sz w:val="20"/>
          <w:szCs w:val="20"/>
          <w:lang w:eastAsia="cs-CZ"/>
        </w:rPr>
        <w:t>k přijetí navazujících prováděcích předpisů</w:t>
      </w:r>
      <w:r w:rsidRPr="00C24253">
        <w:rPr>
          <w:rStyle w:val="Znakapoznpodarou"/>
          <w:b w:val="0"/>
          <w:bCs/>
          <w:sz w:val="20"/>
          <w:szCs w:val="20"/>
          <w:lang w:eastAsia="cs-CZ"/>
        </w:rPr>
        <w:footnoteReference w:id="4"/>
      </w:r>
      <w:r w:rsidRPr="00C24253">
        <w:rPr>
          <w:b w:val="0"/>
          <w:bCs/>
          <w:sz w:val="20"/>
          <w:szCs w:val="20"/>
          <w:lang w:eastAsia="cs-CZ"/>
        </w:rPr>
        <w:t>. Tyto předpisy poprvé nastavily závazné definice a další par</w:t>
      </w:r>
      <w:r w:rsidRPr="00C24253">
        <w:rPr>
          <w:b w:val="0"/>
          <w:bCs/>
          <w:sz w:val="20"/>
          <w:szCs w:val="20"/>
          <w:lang w:eastAsia="cs-CZ"/>
        </w:rPr>
        <w:t>a</w:t>
      </w:r>
      <w:r w:rsidRPr="00C24253">
        <w:rPr>
          <w:b w:val="0"/>
          <w:bCs/>
          <w:sz w:val="20"/>
          <w:szCs w:val="20"/>
          <w:lang w:eastAsia="cs-CZ"/>
        </w:rPr>
        <w:t>metry sčítání v členských státech Evropské unie, které zajišťují mnohem větší míru mezinárodní srovnate</w:t>
      </w:r>
      <w:r w:rsidRPr="00C24253">
        <w:rPr>
          <w:b w:val="0"/>
          <w:bCs/>
          <w:sz w:val="20"/>
          <w:szCs w:val="20"/>
          <w:lang w:eastAsia="cs-CZ"/>
        </w:rPr>
        <w:t>l</w:t>
      </w:r>
      <w:r w:rsidRPr="00C24253">
        <w:rPr>
          <w:b w:val="0"/>
          <w:bCs/>
          <w:sz w:val="20"/>
          <w:szCs w:val="20"/>
          <w:lang w:eastAsia="cs-CZ"/>
        </w:rPr>
        <w:t xml:space="preserve">nosti výsledků z hlediska termínu, obsahu i metodiky sčítání, než tomu bylo při předchozích sčítáních. </w:t>
      </w:r>
    </w:p>
    <w:p w:rsidR="00096A9F" w:rsidRPr="00C24253" w:rsidRDefault="00096A9F" w:rsidP="008761B5">
      <w:pPr>
        <w:pStyle w:val="Odstavecseseznamem"/>
        <w:spacing w:after="120"/>
        <w:ind w:left="0"/>
        <w:contextualSpacing w:val="0"/>
        <w:jc w:val="both"/>
        <w:rPr>
          <w:b w:val="0"/>
          <w:sz w:val="20"/>
          <w:szCs w:val="20"/>
        </w:rPr>
      </w:pPr>
      <w:r w:rsidRPr="00C24253">
        <w:rPr>
          <w:b w:val="0"/>
          <w:bCs/>
          <w:sz w:val="20"/>
          <w:szCs w:val="20"/>
          <w:lang w:eastAsia="cs-CZ"/>
        </w:rPr>
        <w:t>Za referenční období byl pro členské státy EU určen rok 2011, v němž skutečně proběhla sčítání ve všech státech EU.</w:t>
      </w:r>
    </w:p>
    <w:p w:rsidR="001F5768" w:rsidRPr="00C24253" w:rsidRDefault="002E4032" w:rsidP="00076FB4">
      <w:pPr>
        <w:pStyle w:val="Odstavecseseznamem"/>
        <w:spacing w:after="0"/>
        <w:ind w:left="0"/>
        <w:contextualSpacing w:val="0"/>
        <w:jc w:val="both"/>
        <w:rPr>
          <w:b w:val="0"/>
          <w:sz w:val="20"/>
          <w:szCs w:val="20"/>
        </w:rPr>
      </w:pPr>
      <w:r w:rsidRPr="00C24253">
        <w:rPr>
          <w:b w:val="0"/>
          <w:sz w:val="20"/>
          <w:szCs w:val="20"/>
        </w:rPr>
        <w:br w:type="page"/>
      </w:r>
      <w:r w:rsidR="00096A9F" w:rsidRPr="00C24253">
        <w:rPr>
          <w:b w:val="0"/>
          <w:sz w:val="20"/>
          <w:szCs w:val="20"/>
        </w:rPr>
        <w:lastRenderedPageBreak/>
        <w:t>Česká republika se v obsahové a metodické přípravě sčítání řídila Doporučeními KES a dalšími legislativn</w:t>
      </w:r>
      <w:r w:rsidR="00096A9F" w:rsidRPr="00C24253">
        <w:rPr>
          <w:b w:val="0"/>
          <w:sz w:val="20"/>
          <w:szCs w:val="20"/>
        </w:rPr>
        <w:t>í</w:t>
      </w:r>
      <w:r w:rsidR="00096A9F" w:rsidRPr="00C24253">
        <w:rPr>
          <w:b w:val="0"/>
          <w:sz w:val="20"/>
          <w:szCs w:val="20"/>
        </w:rPr>
        <w:t xml:space="preserve">mi materiály EU s cílem dosáhnout maximální shody programu a metodiky sčítání v ČR s těmito dokumenty. </w:t>
      </w:r>
    </w:p>
    <w:p w:rsidR="00096A9F" w:rsidRPr="00C24253" w:rsidRDefault="00096A9F" w:rsidP="00076FB4">
      <w:pPr>
        <w:pStyle w:val="Odstavecseseznamem"/>
        <w:spacing w:after="0"/>
        <w:ind w:left="0"/>
        <w:contextualSpacing w:val="0"/>
        <w:jc w:val="both"/>
        <w:rPr>
          <w:sz w:val="20"/>
          <w:szCs w:val="20"/>
        </w:rPr>
      </w:pPr>
      <w:r w:rsidRPr="00C24253">
        <w:rPr>
          <w:b w:val="0"/>
          <w:sz w:val="20"/>
          <w:szCs w:val="20"/>
        </w:rPr>
        <w:t xml:space="preserve">Zároveň však byl </w:t>
      </w:r>
      <w:r w:rsidRPr="00C24253">
        <w:rPr>
          <w:sz w:val="20"/>
          <w:szCs w:val="20"/>
        </w:rPr>
        <w:t>brán zřetel na kontinuitu a srovnatelnost</w:t>
      </w:r>
      <w:r w:rsidRPr="00C24253">
        <w:rPr>
          <w:b w:val="0"/>
          <w:sz w:val="20"/>
          <w:szCs w:val="20"/>
        </w:rPr>
        <w:t xml:space="preserve"> dlouhodobých časových řad jednotlivých uk</w:t>
      </w:r>
      <w:r w:rsidRPr="00C24253">
        <w:rPr>
          <w:b w:val="0"/>
          <w:sz w:val="20"/>
          <w:szCs w:val="20"/>
        </w:rPr>
        <w:t>a</w:t>
      </w:r>
      <w:r w:rsidRPr="00C24253">
        <w:rPr>
          <w:b w:val="0"/>
          <w:sz w:val="20"/>
          <w:szCs w:val="20"/>
        </w:rPr>
        <w:t xml:space="preserve">zatelů v našich sčítáních a do programu sčítání </w:t>
      </w:r>
      <w:r w:rsidRPr="00C24253">
        <w:rPr>
          <w:sz w:val="20"/>
          <w:szCs w:val="20"/>
        </w:rPr>
        <w:t xml:space="preserve">byly zařazeny i některé tradičně sledované otázky, jež nebyly Nařízením EP a Rady (EU) stanoveny jako závazné. </w:t>
      </w:r>
    </w:p>
    <w:p w:rsidR="00096A9F" w:rsidRPr="00C24253" w:rsidRDefault="00995B12" w:rsidP="001F34D8">
      <w:pPr>
        <w:pStyle w:val="Nadpis3"/>
      </w:pPr>
      <w:bookmarkStart w:id="4" w:name="_Toc371588129"/>
      <w:r w:rsidRPr="00C24253">
        <w:t>P</w:t>
      </w:r>
      <w:r w:rsidR="00217BE5" w:rsidRPr="00C24253">
        <w:t>říprava</w:t>
      </w:r>
      <w:r w:rsidRPr="00C24253">
        <w:t xml:space="preserve"> </w:t>
      </w:r>
      <w:r w:rsidR="00217BE5" w:rsidRPr="00C24253">
        <w:t>a provedení sčítání</w:t>
      </w:r>
      <w:bookmarkEnd w:id="4"/>
      <w:r w:rsidR="00217BE5" w:rsidRPr="00C24253">
        <w:t xml:space="preserve"> </w:t>
      </w:r>
    </w:p>
    <w:p w:rsidR="0077322B" w:rsidRPr="00C24253" w:rsidRDefault="00096A9F" w:rsidP="0077322B">
      <w:pPr>
        <w:spacing w:after="120"/>
        <w:rPr>
          <w:sz w:val="20"/>
          <w:szCs w:val="20"/>
        </w:rPr>
      </w:pPr>
      <w:r w:rsidRPr="00C24253">
        <w:rPr>
          <w:sz w:val="20"/>
          <w:szCs w:val="20"/>
        </w:rPr>
        <w:t>Základní organizační a operační postupy, ale i srozumitelnost formulářů, účinnost jejich předvyplnění a po</w:t>
      </w:r>
      <w:r w:rsidRPr="00C24253">
        <w:rPr>
          <w:sz w:val="20"/>
          <w:szCs w:val="20"/>
        </w:rPr>
        <w:t>u</w:t>
      </w:r>
      <w:r w:rsidRPr="00C24253">
        <w:rPr>
          <w:sz w:val="20"/>
          <w:szCs w:val="20"/>
        </w:rPr>
        <w:t xml:space="preserve">žití elektronické formy byly ověřeny při zkušebním sčítání v dubnu roku 2010. Zkušební sčítání proběhlo na vzorku 0,5 % obyvatel, bytů a domů ve všech krajích. Testovány byly i pracovní postupy a metodika práce sčítacích komisařů a sběrných míst dodavatele. </w:t>
      </w:r>
    </w:p>
    <w:p w:rsidR="00096A9F" w:rsidRPr="00C24253" w:rsidRDefault="00096A9F" w:rsidP="0077322B">
      <w:pPr>
        <w:spacing w:after="120"/>
        <w:rPr>
          <w:rFonts w:cs="Arial"/>
          <w:bCs/>
          <w:sz w:val="20"/>
          <w:szCs w:val="20"/>
        </w:rPr>
      </w:pPr>
      <w:r w:rsidRPr="00C24253">
        <w:rPr>
          <w:sz w:val="20"/>
          <w:szCs w:val="20"/>
        </w:rPr>
        <w:t xml:space="preserve">Vlivem časového skluzu uzavírání smluv s hlavními dodavateli nedošlo ale k ověření některých důležitých fází, jako např. evidence životního cyklu sčítacích formulářů, ani zpracování výsledků zkušebního sčítání. Podstatný časový skluz způsobil protest podaný neúspěšným uchazečem o zakázku na </w:t>
      </w:r>
      <w:r w:rsidRPr="00C24253">
        <w:rPr>
          <w:rFonts w:eastAsiaTheme="minorHAnsi"/>
          <w:sz w:val="20"/>
          <w:szCs w:val="20"/>
        </w:rPr>
        <w:t>Generálního dod</w:t>
      </w:r>
      <w:r w:rsidRPr="00C24253">
        <w:rPr>
          <w:rFonts w:eastAsiaTheme="minorHAnsi"/>
          <w:sz w:val="20"/>
          <w:szCs w:val="20"/>
        </w:rPr>
        <w:t>a</w:t>
      </w:r>
      <w:r w:rsidRPr="00C24253">
        <w:rPr>
          <w:rFonts w:eastAsiaTheme="minorHAnsi"/>
          <w:sz w:val="20"/>
          <w:szCs w:val="20"/>
        </w:rPr>
        <w:t>vatele informačních technologií pro sčítání</w:t>
      </w:r>
      <w:r w:rsidRPr="00C24253">
        <w:rPr>
          <w:sz w:val="20"/>
          <w:szCs w:val="20"/>
        </w:rPr>
        <w:t>. Toto podání způsobilo zpoždění přípravy v oblasti IT nejméně o</w:t>
      </w:r>
      <w:r w:rsidR="00CE0AA5">
        <w:rPr>
          <w:sz w:val="20"/>
          <w:szCs w:val="20"/>
        </w:rPr>
        <w:t> </w:t>
      </w:r>
      <w:r w:rsidRPr="00C24253">
        <w:rPr>
          <w:sz w:val="20"/>
          <w:szCs w:val="20"/>
        </w:rPr>
        <w:t>4 měsíce. Vyhodnocení zkušebního sčítání sloužilo k dopracování realizačních projektů a pracovních p</w:t>
      </w:r>
      <w:r w:rsidRPr="00C24253">
        <w:rPr>
          <w:sz w:val="20"/>
          <w:szCs w:val="20"/>
        </w:rPr>
        <w:t>o</w:t>
      </w:r>
      <w:r w:rsidRPr="00C24253">
        <w:rPr>
          <w:sz w:val="20"/>
          <w:szCs w:val="20"/>
        </w:rPr>
        <w:t>stupů, úpravám textů na formulářích a doplnění vysvětlivek. V rámci celkové přípravy</w:t>
      </w:r>
      <w:r w:rsidRPr="00C24253">
        <w:rPr>
          <w:rFonts w:cs="Arial"/>
          <w:sz w:val="20"/>
          <w:szCs w:val="20"/>
        </w:rPr>
        <w:t xml:space="preserve"> sčítání byla </w:t>
      </w:r>
      <w:r w:rsidRPr="00C24253">
        <w:rPr>
          <w:rFonts w:cs="Arial"/>
          <w:bCs/>
          <w:sz w:val="20"/>
          <w:szCs w:val="20"/>
        </w:rPr>
        <w:t>rovněž zpracována a oponována Analýza rizik a Bezpečnostní projekt SLDB 2011.</w:t>
      </w:r>
    </w:p>
    <w:p w:rsidR="00096A9F" w:rsidRPr="00C24253" w:rsidRDefault="00096A9F" w:rsidP="0077322B">
      <w:pPr>
        <w:spacing w:after="120"/>
        <w:rPr>
          <w:rFonts w:cs="Arial"/>
          <w:sz w:val="20"/>
          <w:szCs w:val="20"/>
        </w:rPr>
      </w:pPr>
      <w:r w:rsidRPr="00C24253">
        <w:rPr>
          <w:rFonts w:cs="Arial"/>
          <w:sz w:val="20"/>
          <w:szCs w:val="20"/>
        </w:rPr>
        <w:t xml:space="preserve">Pro sčítání byly použity </w:t>
      </w:r>
      <w:r w:rsidRPr="00C24253">
        <w:rPr>
          <w:rFonts w:cs="Arial"/>
          <w:b/>
          <w:sz w:val="20"/>
          <w:szCs w:val="20"/>
        </w:rPr>
        <w:t>tři druhy sčítacích formulářů</w:t>
      </w:r>
      <w:r w:rsidRPr="00C24253">
        <w:rPr>
          <w:rFonts w:cs="Arial"/>
          <w:sz w:val="20"/>
          <w:szCs w:val="20"/>
        </w:rPr>
        <w:t xml:space="preserve"> – sčítací list osoby, bytový list a domovní list. Ko</w:t>
      </w:r>
      <w:r w:rsidRPr="00C24253">
        <w:rPr>
          <w:rFonts w:cs="Arial"/>
          <w:sz w:val="20"/>
          <w:szCs w:val="20"/>
        </w:rPr>
        <w:t>n</w:t>
      </w:r>
      <w:r w:rsidRPr="00C24253">
        <w:rPr>
          <w:rFonts w:cs="Arial"/>
          <w:sz w:val="20"/>
          <w:szCs w:val="20"/>
        </w:rPr>
        <w:t>krétní podoba dotazníků i jednotlivých otázek vznikala postupně v letech 2006 - 2010 převážně jako hledání přijatelných kompromisů mezi mnoha praktickými potřebami. Sčítací formuláře musely splnit svůj hlavní účel – získání požadovaných údajů v co nejlepší kvalitě a úplnosti, musely být pro respondenty dostatečně př</w:t>
      </w:r>
      <w:r w:rsidRPr="00C24253">
        <w:rPr>
          <w:rFonts w:cs="Arial"/>
          <w:sz w:val="20"/>
          <w:szCs w:val="20"/>
        </w:rPr>
        <w:t>e</w:t>
      </w:r>
      <w:r w:rsidRPr="00C24253">
        <w:rPr>
          <w:rFonts w:cs="Arial"/>
          <w:sz w:val="20"/>
          <w:szCs w:val="20"/>
        </w:rPr>
        <w:t>hledné, srozumitelné a přijatelné svým rozsahem (max. 1 - 2 strany A4), zároveň ovšem měly vyhovovat požadavkům na automatizované zpracování (skenování a optické rozpoznávání) a v neposlední řadě bylo třeba vzít v úvahu také finanční náročnost (náklady na tisk, distribuci, zpracování dat z dotazníků aj.).</w:t>
      </w:r>
    </w:p>
    <w:p w:rsidR="00096A9F" w:rsidRPr="00C24253" w:rsidRDefault="00096A9F" w:rsidP="00EF105C">
      <w:pPr>
        <w:pStyle w:val="Odstavecseseznamem"/>
        <w:spacing w:after="120"/>
        <w:ind w:left="0"/>
        <w:contextualSpacing w:val="0"/>
        <w:jc w:val="both"/>
        <w:rPr>
          <w:b w:val="0"/>
          <w:sz w:val="20"/>
          <w:szCs w:val="20"/>
        </w:rPr>
      </w:pPr>
      <w:r w:rsidRPr="00C24253">
        <w:rPr>
          <w:bCs/>
          <w:sz w:val="20"/>
          <w:szCs w:val="20"/>
        </w:rPr>
        <w:t>T</w:t>
      </w:r>
      <w:r w:rsidRPr="00C24253">
        <w:rPr>
          <w:sz w:val="20"/>
          <w:szCs w:val="20"/>
        </w:rPr>
        <w:t xml:space="preserve">erénní práce </w:t>
      </w:r>
      <w:r w:rsidRPr="00C24253">
        <w:rPr>
          <w:b w:val="0"/>
          <w:sz w:val="20"/>
          <w:szCs w:val="20"/>
        </w:rPr>
        <w:t>byly poprvé v historii sčítání provedeny převážně (z více než 95 %) dodavatelským způs</w:t>
      </w:r>
      <w:r w:rsidRPr="00C24253">
        <w:rPr>
          <w:b w:val="0"/>
          <w:sz w:val="20"/>
          <w:szCs w:val="20"/>
        </w:rPr>
        <w:t>o</w:t>
      </w:r>
      <w:r w:rsidRPr="00C24253">
        <w:rPr>
          <w:b w:val="0"/>
          <w:sz w:val="20"/>
          <w:szCs w:val="20"/>
        </w:rPr>
        <w:t>bem. O tomto kroku ČSÚ rozhodl po pečlivém zvážení několika variant organizačního a logistického zabe</w:t>
      </w:r>
      <w:r w:rsidRPr="00C24253">
        <w:rPr>
          <w:b w:val="0"/>
          <w:sz w:val="20"/>
          <w:szCs w:val="20"/>
        </w:rPr>
        <w:t>z</w:t>
      </w:r>
      <w:r w:rsidRPr="00C24253">
        <w:rPr>
          <w:b w:val="0"/>
          <w:sz w:val="20"/>
          <w:szCs w:val="20"/>
        </w:rPr>
        <w:t xml:space="preserve">pečení těchto prací. ČSÚ v dané době neměl organizační předpoklady pro zabezpečení činnosti sčítacích komisařů v terénu v plném rozsahu. Například v té době neexistovaly krajské správy ČSÚ jako organizační jednotky. Zabezpečení těchto činností obcemi bylo jednoznačně odmítnuto </w:t>
      </w:r>
      <w:r w:rsidR="009C373D">
        <w:rPr>
          <w:b w:val="0"/>
          <w:sz w:val="20"/>
          <w:szCs w:val="20"/>
        </w:rPr>
        <w:t>některými ministerstvy, kraji a </w:t>
      </w:r>
      <w:r w:rsidRPr="00C24253">
        <w:rPr>
          <w:b w:val="0"/>
          <w:sz w:val="20"/>
          <w:szCs w:val="20"/>
        </w:rPr>
        <w:t>Svazem měst a obcí ČR, a to i v případě, že by byly vytvořeny dostatečné materiální a finanční podmínky.</w:t>
      </w:r>
    </w:p>
    <w:p w:rsidR="00096A9F" w:rsidRPr="00C24253" w:rsidRDefault="00096A9F" w:rsidP="00EF105C">
      <w:pPr>
        <w:pStyle w:val="Odstavecseseznamem"/>
        <w:spacing w:after="120"/>
        <w:ind w:left="0"/>
        <w:contextualSpacing w:val="0"/>
        <w:jc w:val="both"/>
        <w:rPr>
          <w:b w:val="0"/>
          <w:sz w:val="20"/>
          <w:szCs w:val="20"/>
        </w:rPr>
      </w:pPr>
      <w:r w:rsidRPr="00C24253">
        <w:rPr>
          <w:b w:val="0"/>
          <w:sz w:val="20"/>
          <w:szCs w:val="20"/>
        </w:rPr>
        <w:t xml:space="preserve">Ve veřejné soutěži získala veřejnou zakázku v objemu </w:t>
      </w:r>
      <w:r w:rsidR="00F246D1">
        <w:rPr>
          <w:b w:val="0"/>
          <w:sz w:val="20"/>
          <w:szCs w:val="20"/>
        </w:rPr>
        <w:t>zhruba</w:t>
      </w:r>
      <w:r w:rsidRPr="00C24253">
        <w:rPr>
          <w:b w:val="0"/>
          <w:sz w:val="20"/>
          <w:szCs w:val="20"/>
        </w:rPr>
        <w:t xml:space="preserve"> 900 mil. Kč </w:t>
      </w:r>
      <w:r w:rsidRPr="00C24253">
        <w:rPr>
          <w:sz w:val="20"/>
          <w:szCs w:val="20"/>
        </w:rPr>
        <w:t xml:space="preserve">Česká pošta, s.p. </w:t>
      </w:r>
      <w:r w:rsidRPr="00C24253">
        <w:rPr>
          <w:b w:val="0"/>
          <w:sz w:val="20"/>
          <w:szCs w:val="20"/>
        </w:rPr>
        <w:t>Součástí z</w:t>
      </w:r>
      <w:r w:rsidRPr="00C24253">
        <w:rPr>
          <w:b w:val="0"/>
          <w:sz w:val="20"/>
          <w:szCs w:val="20"/>
        </w:rPr>
        <w:t>a</w:t>
      </w:r>
      <w:r w:rsidRPr="00C24253">
        <w:rPr>
          <w:b w:val="0"/>
          <w:sz w:val="20"/>
          <w:szCs w:val="20"/>
        </w:rPr>
        <w:t>kázky byl i tisk listinných sčítacích formulářů. Česká pošta zabezpečila sčítání vybranými pobočkami, naz</w:t>
      </w:r>
      <w:r w:rsidRPr="00C24253">
        <w:rPr>
          <w:b w:val="0"/>
          <w:sz w:val="20"/>
          <w:szCs w:val="20"/>
        </w:rPr>
        <w:t>ý</w:t>
      </w:r>
      <w:r w:rsidRPr="00C24253">
        <w:rPr>
          <w:b w:val="0"/>
          <w:sz w:val="20"/>
          <w:szCs w:val="20"/>
        </w:rPr>
        <w:t>vanými sběrná místa (681 míst).  Sběrná místa byla vybavena informačním systémem terénních prací, který byl propojen s informačním systémem sčítání ČSÚ obousměrnou komunikací, avšak ne vždy v on-line rež</w:t>
      </w:r>
      <w:r w:rsidRPr="00C24253">
        <w:rPr>
          <w:b w:val="0"/>
          <w:sz w:val="20"/>
          <w:szCs w:val="20"/>
        </w:rPr>
        <w:t>i</w:t>
      </w:r>
      <w:r w:rsidRPr="00C24253">
        <w:rPr>
          <w:b w:val="0"/>
          <w:sz w:val="20"/>
          <w:szCs w:val="20"/>
        </w:rPr>
        <w:t>mu. V</w:t>
      </w:r>
      <w:r w:rsidR="006A3346" w:rsidRPr="00C24253">
        <w:rPr>
          <w:b w:val="0"/>
          <w:sz w:val="20"/>
          <w:szCs w:val="20"/>
        </w:rPr>
        <w:t> </w:t>
      </w:r>
      <w:r w:rsidRPr="00C24253">
        <w:rPr>
          <w:b w:val="0"/>
          <w:sz w:val="20"/>
          <w:szCs w:val="20"/>
        </w:rPr>
        <w:t>9</w:t>
      </w:r>
      <w:r w:rsidR="006A3346" w:rsidRPr="00C24253">
        <w:rPr>
          <w:b w:val="0"/>
          <w:sz w:val="20"/>
          <w:szCs w:val="20"/>
        </w:rPr>
        <w:t xml:space="preserve"> </w:t>
      </w:r>
      <w:r w:rsidRPr="00C24253">
        <w:rPr>
          <w:b w:val="0"/>
          <w:sz w:val="20"/>
          <w:szCs w:val="20"/>
        </w:rPr>
        <w:t xml:space="preserve">799 sčítacích obvodech působilo nakonec téměř 20 000 sčítacích komisařů, kteří provedli distribuci a sběr sčítacích formulářů. </w:t>
      </w:r>
    </w:p>
    <w:p w:rsidR="00096A9F" w:rsidRPr="00C24253" w:rsidRDefault="00096A9F" w:rsidP="00B01773">
      <w:pPr>
        <w:pStyle w:val="Odstavecseseznamem"/>
        <w:ind w:left="0"/>
        <w:contextualSpacing w:val="0"/>
        <w:jc w:val="both"/>
        <w:rPr>
          <w:b w:val="0"/>
          <w:sz w:val="20"/>
          <w:szCs w:val="20"/>
        </w:rPr>
      </w:pPr>
      <w:r w:rsidRPr="00C24253">
        <w:rPr>
          <w:b w:val="0"/>
          <w:sz w:val="20"/>
          <w:szCs w:val="20"/>
        </w:rPr>
        <w:t xml:space="preserve">Poprvé v historii mohli obyvatelé vyplněné sčítací formuláře zasílat bezplatně poštou na adresu P.O.Boxu ČSÚ (tzv. </w:t>
      </w:r>
      <w:r w:rsidRPr="00CE0AA5">
        <w:rPr>
          <w:b w:val="0"/>
          <w:sz w:val="20"/>
          <w:szCs w:val="20"/>
        </w:rPr>
        <w:t xml:space="preserve">metoda sběru </w:t>
      </w:r>
      <w:r w:rsidRPr="00CE0AA5">
        <w:rPr>
          <w:b w:val="0"/>
          <w:i/>
          <w:sz w:val="20"/>
          <w:szCs w:val="20"/>
        </w:rPr>
        <w:t>mail-back</w:t>
      </w:r>
      <w:r w:rsidRPr="00C24253">
        <w:rPr>
          <w:b w:val="0"/>
          <w:sz w:val="20"/>
          <w:szCs w:val="20"/>
        </w:rPr>
        <w:t xml:space="preserve">). Tímto sběrným kanálem bylo doručeno 3,5 mil. obálek obsahujících více než 10,5 mil. sčítacích formulářů, což výrazně přesahovalo původně předpokládané množství. Sčítacími komisaři bylo sebráno 2,5 mil. formulářů. Více než 4,3 mil., tj. 25 % všech sčítacích formulářů bylo doručeno elektronicky. </w:t>
      </w:r>
    </w:p>
    <w:tbl>
      <w:tblPr>
        <w:tblW w:w="7208" w:type="dxa"/>
        <w:jc w:val="center"/>
        <w:tblInd w:w="57" w:type="dxa"/>
        <w:tblLayout w:type="fixed"/>
        <w:tblCellMar>
          <w:left w:w="70" w:type="dxa"/>
          <w:right w:w="70" w:type="dxa"/>
        </w:tblCellMar>
        <w:tblLook w:val="04A0"/>
      </w:tblPr>
      <w:tblGrid>
        <w:gridCol w:w="1823"/>
        <w:gridCol w:w="1077"/>
        <w:gridCol w:w="1077"/>
        <w:gridCol w:w="1077"/>
        <w:gridCol w:w="1077"/>
        <w:gridCol w:w="103"/>
        <w:gridCol w:w="974"/>
      </w:tblGrid>
      <w:tr w:rsidR="00B01773" w:rsidRPr="00C24253" w:rsidTr="00B01773">
        <w:trPr>
          <w:gridAfter w:val="1"/>
          <w:wAfter w:w="974" w:type="dxa"/>
          <w:trHeight w:val="300"/>
          <w:jc w:val="center"/>
        </w:trPr>
        <w:tc>
          <w:tcPr>
            <w:tcW w:w="6234" w:type="dxa"/>
            <w:gridSpan w:val="6"/>
            <w:tcBorders>
              <w:bottom w:val="single" w:sz="4" w:space="0" w:color="auto"/>
            </w:tcBorders>
            <w:shd w:val="clear" w:color="auto" w:fill="auto"/>
            <w:vAlign w:val="center"/>
            <w:hideMark/>
          </w:tcPr>
          <w:p w:rsidR="00B01773" w:rsidRPr="00C24253" w:rsidRDefault="00B01773" w:rsidP="00B01773">
            <w:pPr>
              <w:spacing w:after="120"/>
              <w:rPr>
                <w:rFonts w:cs="Arial"/>
                <w:sz w:val="16"/>
                <w:szCs w:val="16"/>
              </w:rPr>
            </w:pPr>
            <w:r w:rsidRPr="00C24253">
              <w:rPr>
                <w:rFonts w:cs="Arial"/>
                <w:b/>
                <w:bCs/>
                <w:sz w:val="20"/>
                <w:szCs w:val="20"/>
              </w:rPr>
              <w:t xml:space="preserve">Struktura odevzdaných sčítacích formulářů </w:t>
            </w:r>
          </w:p>
        </w:tc>
      </w:tr>
      <w:tr w:rsidR="00B01773" w:rsidRPr="00C24253" w:rsidTr="001E0EB0">
        <w:trPr>
          <w:trHeight w:val="319"/>
          <w:jc w:val="center"/>
        </w:trPr>
        <w:tc>
          <w:tcPr>
            <w:tcW w:w="1823" w:type="dxa"/>
            <w:vMerge w:val="restart"/>
            <w:tcBorders>
              <w:top w:val="single" w:sz="4" w:space="0" w:color="auto"/>
              <w:left w:val="single" w:sz="4" w:space="0" w:color="auto"/>
              <w:right w:val="single" w:sz="4" w:space="0" w:color="auto"/>
            </w:tcBorders>
            <w:shd w:val="clear" w:color="auto" w:fill="auto"/>
            <w:noWrap/>
            <w:vAlign w:val="center"/>
            <w:hideMark/>
          </w:tcPr>
          <w:p w:rsidR="00B01773" w:rsidRPr="00C24253" w:rsidRDefault="00B01773" w:rsidP="00B01773">
            <w:pPr>
              <w:jc w:val="left"/>
              <w:rPr>
                <w:rFonts w:cs="Arial"/>
                <w:sz w:val="16"/>
                <w:szCs w:val="16"/>
              </w:rPr>
            </w:pPr>
            <w:r w:rsidRPr="00C24253">
              <w:rPr>
                <w:rFonts w:cs="Arial"/>
                <w:sz w:val="16"/>
                <w:szCs w:val="16"/>
              </w:rPr>
              <w:t>Sčítací formuláře</w:t>
            </w:r>
          </w:p>
        </w:tc>
        <w:tc>
          <w:tcPr>
            <w:tcW w:w="3231" w:type="dxa"/>
            <w:gridSpan w:val="3"/>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center"/>
              <w:rPr>
                <w:rFonts w:cs="Arial"/>
                <w:sz w:val="16"/>
                <w:szCs w:val="16"/>
              </w:rPr>
            </w:pPr>
            <w:r w:rsidRPr="00C24253">
              <w:rPr>
                <w:rFonts w:cs="Arial"/>
                <w:sz w:val="16"/>
                <w:szCs w:val="16"/>
              </w:rPr>
              <w:t>abs. (v mil.)</w:t>
            </w:r>
          </w:p>
        </w:tc>
        <w:tc>
          <w:tcPr>
            <w:tcW w:w="2154" w:type="dxa"/>
            <w:gridSpan w:val="3"/>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center"/>
              <w:rPr>
                <w:rFonts w:cs="Arial"/>
                <w:sz w:val="16"/>
                <w:szCs w:val="16"/>
              </w:rPr>
            </w:pPr>
            <w:r w:rsidRPr="00C24253">
              <w:rPr>
                <w:rFonts w:cs="Arial"/>
                <w:sz w:val="16"/>
                <w:szCs w:val="16"/>
              </w:rPr>
              <w:t>v %</w:t>
            </w:r>
          </w:p>
        </w:tc>
      </w:tr>
      <w:tr w:rsidR="00B01773" w:rsidRPr="00C24253" w:rsidTr="001E0EB0">
        <w:trPr>
          <w:trHeight w:val="319"/>
          <w:jc w:val="center"/>
        </w:trPr>
        <w:tc>
          <w:tcPr>
            <w:tcW w:w="1823" w:type="dxa"/>
            <w:vMerge/>
            <w:tcBorders>
              <w:left w:val="single" w:sz="4" w:space="0" w:color="auto"/>
              <w:bottom w:val="single" w:sz="4" w:space="0" w:color="auto"/>
              <w:right w:val="single" w:sz="4" w:space="0" w:color="auto"/>
            </w:tcBorders>
            <w:shd w:val="clear" w:color="auto" w:fill="auto"/>
            <w:noWrap/>
            <w:vAlign w:val="center"/>
            <w:hideMark/>
          </w:tcPr>
          <w:p w:rsidR="00B01773" w:rsidRPr="00C24253" w:rsidRDefault="00B01773" w:rsidP="00B01773">
            <w:pPr>
              <w:jc w:val="left"/>
              <w:rPr>
                <w:rFonts w:cs="Arial"/>
                <w:sz w:val="16"/>
                <w:szCs w:val="16"/>
              </w:rPr>
            </w:pP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center"/>
              <w:rPr>
                <w:rFonts w:cs="Arial"/>
                <w:sz w:val="16"/>
                <w:szCs w:val="16"/>
              </w:rPr>
            </w:pPr>
            <w:r w:rsidRPr="00C24253">
              <w:rPr>
                <w:rFonts w:cs="Arial"/>
                <w:sz w:val="16"/>
                <w:szCs w:val="16"/>
              </w:rPr>
              <w:t>celkem</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center"/>
              <w:rPr>
                <w:rFonts w:cs="Arial"/>
                <w:sz w:val="16"/>
                <w:szCs w:val="16"/>
              </w:rPr>
            </w:pPr>
            <w:r w:rsidRPr="00C24253">
              <w:rPr>
                <w:rFonts w:cs="Arial"/>
                <w:sz w:val="16"/>
                <w:szCs w:val="16"/>
              </w:rPr>
              <w:t>listinné</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center"/>
              <w:rPr>
                <w:rFonts w:cs="Arial"/>
                <w:sz w:val="16"/>
                <w:szCs w:val="16"/>
              </w:rPr>
            </w:pPr>
            <w:r w:rsidRPr="00C24253">
              <w:rPr>
                <w:rFonts w:cs="Arial"/>
                <w:sz w:val="16"/>
                <w:szCs w:val="16"/>
              </w:rPr>
              <w:t>elektronické</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center"/>
              <w:rPr>
                <w:rFonts w:cs="Arial"/>
                <w:sz w:val="16"/>
                <w:szCs w:val="16"/>
              </w:rPr>
            </w:pPr>
            <w:r w:rsidRPr="00C24253">
              <w:rPr>
                <w:rFonts w:cs="Arial"/>
                <w:sz w:val="16"/>
                <w:szCs w:val="16"/>
              </w:rPr>
              <w:t>listinné</w:t>
            </w:r>
          </w:p>
        </w:tc>
        <w:tc>
          <w:tcPr>
            <w:tcW w:w="10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center"/>
              <w:rPr>
                <w:rFonts w:cs="Arial"/>
                <w:sz w:val="16"/>
                <w:szCs w:val="16"/>
              </w:rPr>
            </w:pPr>
            <w:r w:rsidRPr="00C24253">
              <w:rPr>
                <w:rFonts w:cs="Arial"/>
                <w:sz w:val="16"/>
                <w:szCs w:val="16"/>
              </w:rPr>
              <w:t>elektronické</w:t>
            </w:r>
          </w:p>
        </w:tc>
      </w:tr>
      <w:tr w:rsidR="00B01773" w:rsidRPr="00C24253" w:rsidTr="00B01773">
        <w:trPr>
          <w:trHeight w:val="319"/>
          <w:jc w:val="center"/>
        </w:trPr>
        <w:tc>
          <w:tcPr>
            <w:tcW w:w="1823" w:type="dxa"/>
            <w:tcBorders>
              <w:top w:val="single" w:sz="4" w:space="0" w:color="auto"/>
              <w:left w:val="single" w:sz="4" w:space="0" w:color="auto"/>
              <w:bottom w:val="nil"/>
              <w:right w:val="single" w:sz="4" w:space="0" w:color="auto"/>
            </w:tcBorders>
            <w:shd w:val="clear" w:color="auto" w:fill="auto"/>
            <w:noWrap/>
            <w:vAlign w:val="center"/>
            <w:hideMark/>
          </w:tcPr>
          <w:p w:rsidR="00B01773" w:rsidRPr="00C24253" w:rsidRDefault="00B01773" w:rsidP="00B01773">
            <w:pPr>
              <w:jc w:val="left"/>
              <w:rPr>
                <w:rFonts w:cs="Arial"/>
                <w:sz w:val="16"/>
                <w:szCs w:val="16"/>
              </w:rPr>
            </w:pPr>
            <w:r w:rsidRPr="00C24253">
              <w:rPr>
                <w:rFonts w:cs="Arial"/>
                <w:sz w:val="16"/>
                <w:szCs w:val="16"/>
              </w:rPr>
              <w:t>Sčítací list osoby</w:t>
            </w:r>
          </w:p>
        </w:tc>
        <w:tc>
          <w:tcPr>
            <w:tcW w:w="1077" w:type="dxa"/>
            <w:tcBorders>
              <w:top w:val="single" w:sz="4" w:space="0" w:color="auto"/>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10,41</w:t>
            </w:r>
          </w:p>
        </w:tc>
        <w:tc>
          <w:tcPr>
            <w:tcW w:w="1077" w:type="dxa"/>
            <w:tcBorders>
              <w:top w:val="single" w:sz="4" w:space="0" w:color="auto"/>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7,61</w:t>
            </w:r>
          </w:p>
        </w:tc>
        <w:tc>
          <w:tcPr>
            <w:tcW w:w="1077" w:type="dxa"/>
            <w:tcBorders>
              <w:top w:val="single" w:sz="4" w:space="0" w:color="auto"/>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2,80</w:t>
            </w:r>
          </w:p>
        </w:tc>
        <w:tc>
          <w:tcPr>
            <w:tcW w:w="1077" w:type="dxa"/>
            <w:tcBorders>
              <w:top w:val="single" w:sz="4" w:space="0" w:color="auto"/>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73,1</w:t>
            </w:r>
          </w:p>
        </w:tc>
        <w:tc>
          <w:tcPr>
            <w:tcW w:w="1077" w:type="dxa"/>
            <w:gridSpan w:val="2"/>
            <w:tcBorders>
              <w:top w:val="single" w:sz="4" w:space="0" w:color="auto"/>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26,9</w:t>
            </w:r>
          </w:p>
        </w:tc>
      </w:tr>
      <w:tr w:rsidR="00B01773" w:rsidRPr="00C24253" w:rsidTr="00B01773">
        <w:trPr>
          <w:trHeight w:val="319"/>
          <w:jc w:val="center"/>
        </w:trPr>
        <w:tc>
          <w:tcPr>
            <w:tcW w:w="1823" w:type="dxa"/>
            <w:tcBorders>
              <w:top w:val="nil"/>
              <w:left w:val="single" w:sz="4" w:space="0" w:color="auto"/>
              <w:bottom w:val="nil"/>
              <w:right w:val="single" w:sz="4" w:space="0" w:color="auto"/>
            </w:tcBorders>
            <w:shd w:val="clear" w:color="auto" w:fill="auto"/>
            <w:noWrap/>
            <w:vAlign w:val="center"/>
            <w:hideMark/>
          </w:tcPr>
          <w:p w:rsidR="00B01773" w:rsidRPr="00C24253" w:rsidRDefault="00B01773" w:rsidP="00B01773">
            <w:pPr>
              <w:jc w:val="left"/>
              <w:rPr>
                <w:rFonts w:cs="Arial"/>
                <w:sz w:val="16"/>
                <w:szCs w:val="16"/>
              </w:rPr>
            </w:pPr>
            <w:r w:rsidRPr="00C24253">
              <w:rPr>
                <w:rFonts w:cs="Arial"/>
                <w:sz w:val="16"/>
                <w:szCs w:val="16"/>
              </w:rPr>
              <w:t>Bytový list</w:t>
            </w:r>
          </w:p>
        </w:tc>
        <w:tc>
          <w:tcPr>
            <w:tcW w:w="1077" w:type="dxa"/>
            <w:tcBorders>
              <w:top w:val="nil"/>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4,64</w:t>
            </w:r>
          </w:p>
        </w:tc>
        <w:tc>
          <w:tcPr>
            <w:tcW w:w="1077" w:type="dxa"/>
            <w:tcBorders>
              <w:top w:val="nil"/>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3,59</w:t>
            </w:r>
          </w:p>
        </w:tc>
        <w:tc>
          <w:tcPr>
            <w:tcW w:w="1077" w:type="dxa"/>
            <w:tcBorders>
              <w:top w:val="nil"/>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1,05</w:t>
            </w:r>
          </w:p>
        </w:tc>
        <w:tc>
          <w:tcPr>
            <w:tcW w:w="1077" w:type="dxa"/>
            <w:tcBorders>
              <w:top w:val="nil"/>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77,3</w:t>
            </w:r>
          </w:p>
        </w:tc>
        <w:tc>
          <w:tcPr>
            <w:tcW w:w="1077" w:type="dxa"/>
            <w:gridSpan w:val="2"/>
            <w:tcBorders>
              <w:top w:val="nil"/>
              <w:left w:val="nil"/>
              <w:bottom w:val="nil"/>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22,7</w:t>
            </w:r>
          </w:p>
        </w:tc>
      </w:tr>
      <w:tr w:rsidR="00B01773" w:rsidRPr="00C24253" w:rsidTr="00B01773">
        <w:trPr>
          <w:trHeight w:val="319"/>
          <w:jc w:val="center"/>
        </w:trPr>
        <w:tc>
          <w:tcPr>
            <w:tcW w:w="1823" w:type="dxa"/>
            <w:tcBorders>
              <w:top w:val="nil"/>
              <w:left w:val="single" w:sz="4" w:space="0" w:color="auto"/>
              <w:bottom w:val="single" w:sz="4" w:space="0" w:color="auto"/>
              <w:right w:val="single" w:sz="4" w:space="0" w:color="auto"/>
            </w:tcBorders>
            <w:shd w:val="clear" w:color="auto" w:fill="auto"/>
            <w:noWrap/>
            <w:vAlign w:val="center"/>
            <w:hideMark/>
          </w:tcPr>
          <w:p w:rsidR="00B01773" w:rsidRPr="00C24253" w:rsidRDefault="00B01773" w:rsidP="00B01773">
            <w:pPr>
              <w:jc w:val="left"/>
              <w:rPr>
                <w:rFonts w:cs="Arial"/>
                <w:sz w:val="16"/>
                <w:szCs w:val="16"/>
              </w:rPr>
            </w:pPr>
            <w:r w:rsidRPr="00C24253">
              <w:rPr>
                <w:rFonts w:cs="Arial"/>
                <w:sz w:val="16"/>
                <w:szCs w:val="16"/>
              </w:rPr>
              <w:t>Domovní list</w:t>
            </w:r>
          </w:p>
        </w:tc>
        <w:tc>
          <w:tcPr>
            <w:tcW w:w="1077" w:type="dxa"/>
            <w:tcBorders>
              <w:top w:val="nil"/>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2,27</w:t>
            </w:r>
          </w:p>
        </w:tc>
        <w:tc>
          <w:tcPr>
            <w:tcW w:w="1077" w:type="dxa"/>
            <w:tcBorders>
              <w:top w:val="nil"/>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1,79</w:t>
            </w:r>
          </w:p>
        </w:tc>
        <w:tc>
          <w:tcPr>
            <w:tcW w:w="1077" w:type="dxa"/>
            <w:tcBorders>
              <w:top w:val="nil"/>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0,48</w:t>
            </w:r>
          </w:p>
        </w:tc>
        <w:tc>
          <w:tcPr>
            <w:tcW w:w="1077" w:type="dxa"/>
            <w:tcBorders>
              <w:top w:val="nil"/>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78,9</w:t>
            </w:r>
          </w:p>
        </w:tc>
        <w:tc>
          <w:tcPr>
            <w:tcW w:w="1077" w:type="dxa"/>
            <w:gridSpan w:val="2"/>
            <w:tcBorders>
              <w:top w:val="nil"/>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sz w:val="16"/>
                <w:szCs w:val="16"/>
              </w:rPr>
            </w:pPr>
            <w:r w:rsidRPr="00C24253">
              <w:rPr>
                <w:rFonts w:cs="Arial"/>
                <w:sz w:val="16"/>
                <w:szCs w:val="16"/>
              </w:rPr>
              <w:t>21,1</w:t>
            </w:r>
          </w:p>
        </w:tc>
      </w:tr>
      <w:tr w:rsidR="00B01773" w:rsidRPr="00C24253" w:rsidTr="00B01773">
        <w:trPr>
          <w:trHeight w:val="397"/>
          <w:jc w:val="center"/>
        </w:trPr>
        <w:tc>
          <w:tcPr>
            <w:tcW w:w="1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1773" w:rsidRPr="00C24253" w:rsidRDefault="00B01773" w:rsidP="00B01773">
            <w:pPr>
              <w:jc w:val="left"/>
              <w:rPr>
                <w:rFonts w:cs="Arial"/>
                <w:b/>
                <w:sz w:val="16"/>
                <w:szCs w:val="16"/>
              </w:rPr>
            </w:pPr>
            <w:r w:rsidRPr="00C24253">
              <w:rPr>
                <w:rFonts w:cs="Arial"/>
                <w:b/>
                <w:sz w:val="16"/>
                <w:szCs w:val="16"/>
              </w:rPr>
              <w:t>Celkem</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b/>
                <w:sz w:val="16"/>
                <w:szCs w:val="16"/>
              </w:rPr>
            </w:pPr>
            <w:r w:rsidRPr="00C24253">
              <w:rPr>
                <w:rFonts w:cs="Arial"/>
                <w:b/>
                <w:sz w:val="16"/>
                <w:szCs w:val="16"/>
              </w:rPr>
              <w:t>17,33</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b/>
                <w:sz w:val="16"/>
                <w:szCs w:val="16"/>
              </w:rPr>
            </w:pPr>
            <w:r w:rsidRPr="00C24253">
              <w:rPr>
                <w:rFonts w:cs="Arial"/>
                <w:b/>
                <w:sz w:val="16"/>
                <w:szCs w:val="16"/>
              </w:rPr>
              <w:t>13,00</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b/>
                <w:sz w:val="16"/>
                <w:szCs w:val="16"/>
              </w:rPr>
            </w:pPr>
            <w:r w:rsidRPr="00C24253">
              <w:rPr>
                <w:rFonts w:cs="Arial"/>
                <w:b/>
                <w:sz w:val="16"/>
                <w:szCs w:val="16"/>
              </w:rPr>
              <w:t>4,33</w:t>
            </w:r>
          </w:p>
        </w:tc>
        <w:tc>
          <w:tcPr>
            <w:tcW w:w="1077" w:type="dxa"/>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b/>
                <w:sz w:val="16"/>
                <w:szCs w:val="16"/>
              </w:rPr>
            </w:pPr>
            <w:r w:rsidRPr="00C24253">
              <w:rPr>
                <w:rFonts w:cs="Arial"/>
                <w:b/>
                <w:sz w:val="16"/>
                <w:szCs w:val="16"/>
              </w:rPr>
              <w:t>75,0</w:t>
            </w:r>
          </w:p>
        </w:tc>
        <w:tc>
          <w:tcPr>
            <w:tcW w:w="10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01773" w:rsidRPr="00C24253" w:rsidRDefault="00B01773" w:rsidP="00B01773">
            <w:pPr>
              <w:jc w:val="right"/>
              <w:rPr>
                <w:rFonts w:cs="Arial"/>
                <w:b/>
                <w:sz w:val="16"/>
                <w:szCs w:val="16"/>
              </w:rPr>
            </w:pPr>
            <w:r w:rsidRPr="00C24253">
              <w:rPr>
                <w:rFonts w:cs="Arial"/>
                <w:b/>
                <w:sz w:val="16"/>
                <w:szCs w:val="16"/>
              </w:rPr>
              <w:t>25,0</w:t>
            </w:r>
          </w:p>
        </w:tc>
      </w:tr>
    </w:tbl>
    <w:p w:rsidR="00096A9F" w:rsidRPr="00C24253" w:rsidRDefault="00096A9F" w:rsidP="00B01773">
      <w:pPr>
        <w:pStyle w:val="Odstavecseseznamem"/>
        <w:spacing w:before="240" w:after="120"/>
        <w:ind w:left="0"/>
        <w:contextualSpacing w:val="0"/>
        <w:jc w:val="both"/>
        <w:rPr>
          <w:b w:val="0"/>
          <w:sz w:val="20"/>
          <w:szCs w:val="20"/>
        </w:rPr>
      </w:pPr>
      <w:r w:rsidRPr="00C24253">
        <w:rPr>
          <w:b w:val="0"/>
          <w:sz w:val="20"/>
          <w:szCs w:val="20"/>
        </w:rPr>
        <w:t>ČSÚ vytvořil v jednotlivých krajích 14 dočasných Krajských oddělení sčítání, jejichž úlohou byla především koordinace součinnosti s regionálními pracovišti České pošty a s dislokovanými pracovišti ČSÚ. Krajským oddělením podléhalo 76 dislokovaných pracovišť, která zabezpečovala operativní kontakt se sběrnými místy České pošty včetně podpory činnosti kontrolorů kvality ČSÚ na sběrných místech. Sčítání ve větších obje</w:t>
      </w:r>
      <w:r w:rsidRPr="00C24253">
        <w:rPr>
          <w:b w:val="0"/>
          <w:sz w:val="20"/>
          <w:szCs w:val="20"/>
        </w:rPr>
        <w:t>k</w:t>
      </w:r>
      <w:r w:rsidRPr="00C24253">
        <w:rPr>
          <w:b w:val="0"/>
          <w:sz w:val="20"/>
          <w:szCs w:val="20"/>
        </w:rPr>
        <w:lastRenderedPageBreak/>
        <w:t>tech hromadného ubytování a lůžkových zdravotnických zařízeních provedli sčítací komisaři přímo řízení příslušnými dislokovanými pracovišti ČSÚ. Celkem šlo o 2109 sčítacích obvodů. V těchto regionálních stru</w:t>
      </w:r>
      <w:r w:rsidRPr="00C24253">
        <w:rPr>
          <w:b w:val="0"/>
          <w:sz w:val="20"/>
          <w:szCs w:val="20"/>
        </w:rPr>
        <w:t>k</w:t>
      </w:r>
      <w:r w:rsidRPr="00C24253">
        <w:rPr>
          <w:b w:val="0"/>
          <w:sz w:val="20"/>
          <w:szCs w:val="20"/>
        </w:rPr>
        <w:t>turách působilo ve špičce terénních prací v období od listopadu 2010 do června 2011 více než 3000 z</w:t>
      </w:r>
      <w:r w:rsidRPr="00C24253">
        <w:rPr>
          <w:b w:val="0"/>
          <w:sz w:val="20"/>
          <w:szCs w:val="20"/>
        </w:rPr>
        <w:t>a</w:t>
      </w:r>
      <w:r w:rsidRPr="00C24253">
        <w:rPr>
          <w:b w:val="0"/>
          <w:sz w:val="20"/>
          <w:szCs w:val="20"/>
        </w:rPr>
        <w:t xml:space="preserve">městnanců (včetně sčítacích komisařů ČSÚ). </w:t>
      </w:r>
    </w:p>
    <w:p w:rsidR="00096A9F" w:rsidRPr="00C24253" w:rsidRDefault="00096A9F" w:rsidP="00096A9F">
      <w:pPr>
        <w:pStyle w:val="Odstavecseseznamem"/>
        <w:spacing w:after="120"/>
        <w:ind w:left="0"/>
        <w:contextualSpacing w:val="0"/>
        <w:jc w:val="both"/>
        <w:rPr>
          <w:b w:val="0"/>
          <w:sz w:val="20"/>
          <w:szCs w:val="20"/>
        </w:rPr>
      </w:pPr>
      <w:r w:rsidRPr="00C24253">
        <w:rPr>
          <w:b w:val="0"/>
          <w:sz w:val="20"/>
          <w:szCs w:val="20"/>
        </w:rPr>
        <w:t>Ministerstva vnitra, obrany, zahraničí a spravedlnosti zabezpečila sčítání v jimi spravovaných objektech, a to i mimo území ČR (zastupitelské úřady a mise, vojenské a policejní útvary působící v zahraničí). Sčítání v resortech proběhlo v podstatě analogicky předcházejícím censům.</w:t>
      </w:r>
    </w:p>
    <w:p w:rsidR="00096A9F" w:rsidRPr="00C24253" w:rsidRDefault="00096A9F" w:rsidP="00096A9F">
      <w:pPr>
        <w:pStyle w:val="Odstavecseseznamem"/>
        <w:spacing w:after="120"/>
        <w:ind w:left="0"/>
        <w:contextualSpacing w:val="0"/>
        <w:jc w:val="both"/>
        <w:rPr>
          <w:sz w:val="20"/>
          <w:szCs w:val="20"/>
        </w:rPr>
      </w:pPr>
      <w:r w:rsidRPr="00C24253">
        <w:rPr>
          <w:b w:val="0"/>
          <w:sz w:val="20"/>
          <w:szCs w:val="20"/>
        </w:rPr>
        <w:t>Terénní práce jako celek byly podporovány účinnou informační kampaní, která proběhla na centrální i regi</w:t>
      </w:r>
      <w:r w:rsidRPr="00C24253">
        <w:rPr>
          <w:b w:val="0"/>
          <w:sz w:val="20"/>
          <w:szCs w:val="20"/>
        </w:rPr>
        <w:t>o</w:t>
      </w:r>
      <w:r w:rsidRPr="00C24253">
        <w:rPr>
          <w:b w:val="0"/>
          <w:sz w:val="20"/>
          <w:szCs w:val="20"/>
        </w:rPr>
        <w:t>nální úrovni. Prostřednictvím této úspěšné kampaně se podařilo v podstatě eliminovat naprostou většinu negativních výpadů proti sčítání. Naproti tomu call-centrum provozované Českou poštou svoji úlohu nespln</w:t>
      </w:r>
      <w:r w:rsidRPr="00C24253">
        <w:rPr>
          <w:b w:val="0"/>
          <w:sz w:val="20"/>
          <w:szCs w:val="20"/>
        </w:rPr>
        <w:t>i</w:t>
      </w:r>
      <w:r w:rsidRPr="00C24253">
        <w:rPr>
          <w:b w:val="0"/>
          <w:sz w:val="20"/>
          <w:szCs w:val="20"/>
        </w:rPr>
        <w:t>lo a pro dotazy veřejnosti bylo prakticky nedostupné, ačkoliv podle projekt</w:t>
      </w:r>
      <w:r w:rsidR="009C373D">
        <w:rPr>
          <w:b w:val="0"/>
          <w:sz w:val="20"/>
          <w:szCs w:val="20"/>
        </w:rPr>
        <w:t>u mělo zabezpečovat například i </w:t>
      </w:r>
      <w:r w:rsidRPr="00C24253">
        <w:rPr>
          <w:b w:val="0"/>
          <w:sz w:val="20"/>
          <w:szCs w:val="20"/>
        </w:rPr>
        <w:t>přeobjednávání termínů návštěv sčítacích komisařů v domácnostech atd</w:t>
      </w:r>
      <w:r w:rsidRPr="00C24253">
        <w:rPr>
          <w:sz w:val="20"/>
          <w:szCs w:val="20"/>
        </w:rPr>
        <w:t xml:space="preserve">. </w:t>
      </w:r>
    </w:p>
    <w:p w:rsidR="00096A9F" w:rsidRPr="00C24253" w:rsidRDefault="00096A9F" w:rsidP="00096A9F">
      <w:pPr>
        <w:spacing w:after="120"/>
        <w:rPr>
          <w:rFonts w:cs="Arial"/>
          <w:sz w:val="20"/>
          <w:szCs w:val="20"/>
        </w:rPr>
      </w:pPr>
      <w:r w:rsidRPr="00C24253">
        <w:rPr>
          <w:rFonts w:cs="Arial"/>
          <w:sz w:val="20"/>
          <w:szCs w:val="20"/>
        </w:rPr>
        <w:t>Formuláře, jež prošly skenováním a validací pořízených údajů, byly vráceny do Centrálního úložiště dok</w:t>
      </w:r>
      <w:r w:rsidRPr="00C24253">
        <w:rPr>
          <w:rFonts w:cs="Arial"/>
          <w:sz w:val="20"/>
          <w:szCs w:val="20"/>
        </w:rPr>
        <w:t>u</w:t>
      </w:r>
      <w:r w:rsidRPr="00C24253">
        <w:rPr>
          <w:rFonts w:cs="Arial"/>
          <w:sz w:val="20"/>
          <w:szCs w:val="20"/>
        </w:rPr>
        <w:t>mentů. Po ukončení činnosti sběrných míst České pošty a dislokovaných pracovišť tam byly svezeny i ve</w:t>
      </w:r>
      <w:r w:rsidRPr="00C24253">
        <w:rPr>
          <w:rFonts w:cs="Arial"/>
          <w:sz w:val="20"/>
          <w:szCs w:val="20"/>
        </w:rPr>
        <w:t>š</w:t>
      </w:r>
      <w:r w:rsidRPr="00C24253">
        <w:rPr>
          <w:rFonts w:cs="Arial"/>
          <w:sz w:val="20"/>
          <w:szCs w:val="20"/>
        </w:rPr>
        <w:t>keré služební formuláře (např. Dodávací a sběrné záznamy jednotlivých sčítacích komisařů, mapové po</w:t>
      </w:r>
      <w:r w:rsidRPr="00C24253">
        <w:rPr>
          <w:rFonts w:cs="Arial"/>
          <w:sz w:val="20"/>
          <w:szCs w:val="20"/>
        </w:rPr>
        <w:t>d</w:t>
      </w:r>
      <w:r w:rsidRPr="00C24253">
        <w:rPr>
          <w:rFonts w:cs="Arial"/>
          <w:sz w:val="20"/>
          <w:szCs w:val="20"/>
        </w:rPr>
        <w:t>klady, průkazy sčítacích komisařů a další dokumentace). Tento listinný materiál byl postupně skartován o</w:t>
      </w:r>
      <w:r w:rsidRPr="00C24253">
        <w:rPr>
          <w:rFonts w:cs="Arial"/>
          <w:sz w:val="20"/>
          <w:szCs w:val="20"/>
        </w:rPr>
        <w:t>d</w:t>
      </w:r>
      <w:r w:rsidRPr="00C24253">
        <w:rPr>
          <w:rFonts w:cs="Arial"/>
          <w:sz w:val="20"/>
          <w:szCs w:val="20"/>
        </w:rPr>
        <w:t>bornou firmou v režimu plného zabezpečení proti úniku osobních a dalších údajů během manipulace</w:t>
      </w:r>
      <w:r w:rsidR="00F246D1">
        <w:rPr>
          <w:rFonts w:cs="Arial"/>
          <w:sz w:val="20"/>
          <w:szCs w:val="20"/>
        </w:rPr>
        <w:t xml:space="preserve"> (</w:t>
      </w:r>
      <w:r w:rsidRPr="00C24253">
        <w:rPr>
          <w:rFonts w:cs="Arial"/>
          <w:sz w:val="20"/>
          <w:szCs w:val="20"/>
        </w:rPr>
        <w:t>pod kontrolou pracovníků ČSÚ</w:t>
      </w:r>
      <w:r w:rsidR="00F246D1">
        <w:rPr>
          <w:rFonts w:cs="Arial"/>
          <w:sz w:val="20"/>
          <w:szCs w:val="20"/>
        </w:rPr>
        <w:t>)</w:t>
      </w:r>
      <w:r w:rsidRPr="00C24253">
        <w:rPr>
          <w:rFonts w:cs="Arial"/>
          <w:sz w:val="20"/>
          <w:szCs w:val="20"/>
        </w:rPr>
        <w:t>. Celkem šlo o přibližně 150 tun listinných dokumentů, které byly skartovány d</w:t>
      </w:r>
      <w:r w:rsidR="00CE0AA5">
        <w:rPr>
          <w:rFonts w:cs="Arial"/>
          <w:sz w:val="20"/>
          <w:szCs w:val="20"/>
        </w:rPr>
        <w:t>o </w:t>
      </w:r>
      <w:r w:rsidRPr="00C24253">
        <w:rPr>
          <w:rFonts w:cs="Arial"/>
          <w:sz w:val="20"/>
          <w:szCs w:val="20"/>
        </w:rPr>
        <w:t xml:space="preserve">června 2012. </w:t>
      </w:r>
    </w:p>
    <w:p w:rsidR="00096A9F" w:rsidRPr="00C24253" w:rsidRDefault="00217BE5" w:rsidP="001F34D8">
      <w:pPr>
        <w:pStyle w:val="Nadpis3"/>
      </w:pPr>
      <w:bookmarkStart w:id="5" w:name="_Toc371588130"/>
      <w:r w:rsidRPr="00C24253">
        <w:t>Elektronické sčítací formuláře</w:t>
      </w:r>
      <w:bookmarkEnd w:id="5"/>
    </w:p>
    <w:p w:rsidR="00096A9F" w:rsidRPr="00C24253" w:rsidRDefault="00096A9F" w:rsidP="00096A9F">
      <w:pPr>
        <w:spacing w:after="120"/>
        <w:rPr>
          <w:rFonts w:cs="Arial"/>
          <w:sz w:val="20"/>
          <w:szCs w:val="20"/>
        </w:rPr>
      </w:pPr>
      <w:r w:rsidRPr="00C24253">
        <w:rPr>
          <w:rFonts w:cs="Arial"/>
          <w:sz w:val="20"/>
          <w:szCs w:val="20"/>
        </w:rPr>
        <w:t>Poprvé při sčítání byla obyvatelům dána možnost vyplnit sčítací formuláře v elektronické podobě. Elektroni</w:t>
      </w:r>
      <w:r w:rsidRPr="00C24253">
        <w:rPr>
          <w:rFonts w:cs="Arial"/>
          <w:sz w:val="20"/>
          <w:szCs w:val="20"/>
        </w:rPr>
        <w:t>c</w:t>
      </w:r>
      <w:r w:rsidRPr="00C24253">
        <w:rPr>
          <w:rFonts w:cs="Arial"/>
          <w:sz w:val="20"/>
          <w:szCs w:val="20"/>
        </w:rPr>
        <w:t>ké sčítací formuláře měly podobu dokumentů ve formátu PDF, obsahově by</w:t>
      </w:r>
      <w:r w:rsidR="009C373D">
        <w:rPr>
          <w:rFonts w:cs="Arial"/>
          <w:sz w:val="20"/>
          <w:szCs w:val="20"/>
        </w:rPr>
        <w:t>ly totožné a graficky podobné s </w:t>
      </w:r>
      <w:r w:rsidRPr="00C24253">
        <w:rPr>
          <w:rFonts w:cs="Arial"/>
          <w:sz w:val="20"/>
          <w:szCs w:val="20"/>
        </w:rPr>
        <w:t>listinnými sčítacími formuláři. V případě předvyplněného tištěného formuláře (viz dále) byla i jeho elektr</w:t>
      </w:r>
      <w:r w:rsidRPr="00C24253">
        <w:rPr>
          <w:rFonts w:cs="Arial"/>
          <w:sz w:val="20"/>
          <w:szCs w:val="20"/>
        </w:rPr>
        <w:t>o</w:t>
      </w:r>
      <w:r w:rsidRPr="00C24253">
        <w:rPr>
          <w:rFonts w:cs="Arial"/>
          <w:sz w:val="20"/>
          <w:szCs w:val="20"/>
        </w:rPr>
        <w:t>nická verze předvyplněna údaji ve stejném rozsahu. Výjimkou bylo jméno a příjmení na sčítacím listu osob, které z důvodů vyšších nároků na ochranu osobních údajů v elektronickém formuláři předvyplněny nebyly.</w:t>
      </w:r>
    </w:p>
    <w:p w:rsidR="00096A9F" w:rsidRPr="00C24253" w:rsidRDefault="00096A9F" w:rsidP="00096A9F">
      <w:pPr>
        <w:spacing w:after="120"/>
        <w:rPr>
          <w:rFonts w:cs="Arial"/>
          <w:sz w:val="20"/>
          <w:szCs w:val="20"/>
        </w:rPr>
      </w:pPr>
      <w:r w:rsidRPr="00C24253">
        <w:rPr>
          <w:rFonts w:cs="Arial"/>
          <w:sz w:val="20"/>
          <w:szCs w:val="20"/>
        </w:rPr>
        <w:t>Každý sčítací formulář byl opatřen unikátním evidenčním kódem (vytištěným na listinném formuláři v podobě abecedně-číslicového údaje a zároveň čárového kódu), díky němuž bylo možné sledovat pohyb formuláře – od přípravy dat, přes vytištění, distribuci, sběr, naskenování až po vstup formuláře ke zpracování údajů. Ev</w:t>
      </w:r>
      <w:r w:rsidRPr="00C24253">
        <w:rPr>
          <w:rFonts w:cs="Arial"/>
          <w:sz w:val="20"/>
          <w:szCs w:val="20"/>
        </w:rPr>
        <w:t>i</w:t>
      </w:r>
      <w:r w:rsidRPr="00C24253">
        <w:rPr>
          <w:rFonts w:cs="Arial"/>
          <w:sz w:val="20"/>
          <w:szCs w:val="20"/>
        </w:rPr>
        <w:t>denční kód formuláře spolu s dalším – tzv. potvrzovacím kódem vytištěným rovněž na formuláři - tvořily př</w:t>
      </w:r>
      <w:r w:rsidRPr="00C24253">
        <w:rPr>
          <w:rFonts w:cs="Arial"/>
          <w:sz w:val="20"/>
          <w:szCs w:val="20"/>
        </w:rPr>
        <w:t>í</w:t>
      </w:r>
      <w:r w:rsidRPr="00C24253">
        <w:rPr>
          <w:rFonts w:cs="Arial"/>
          <w:sz w:val="20"/>
          <w:szCs w:val="20"/>
        </w:rPr>
        <w:t>stupové kódy (heslo) pro přístup k elektronické podobě konkrétního sčítacího formuláře na internetové stránce sčítání. Zatímco evidenč</w:t>
      </w:r>
      <w:r w:rsidR="00EF105C" w:rsidRPr="00C24253">
        <w:rPr>
          <w:rFonts w:cs="Arial"/>
          <w:sz w:val="20"/>
          <w:szCs w:val="20"/>
        </w:rPr>
        <w:t xml:space="preserve">ní kód formuláře byl </w:t>
      </w:r>
      <w:r w:rsidR="00B875EE" w:rsidRPr="00C24253">
        <w:rPr>
          <w:rFonts w:cs="Arial"/>
          <w:sz w:val="20"/>
          <w:szCs w:val="20"/>
        </w:rPr>
        <w:t>používán ve všech informačních systémech, které sl</w:t>
      </w:r>
      <w:r w:rsidR="00B875EE" w:rsidRPr="00C24253">
        <w:rPr>
          <w:rFonts w:cs="Arial"/>
          <w:sz w:val="20"/>
          <w:szCs w:val="20"/>
        </w:rPr>
        <w:t>e</w:t>
      </w:r>
      <w:r w:rsidR="00B875EE" w:rsidRPr="00C24253">
        <w:rPr>
          <w:rFonts w:cs="Arial"/>
          <w:sz w:val="20"/>
          <w:szCs w:val="20"/>
        </w:rPr>
        <w:t>dovaly životní cyklus formuláře, potvrzovací kód</w:t>
      </w:r>
      <w:r w:rsidRPr="00C24253">
        <w:rPr>
          <w:rFonts w:cs="Arial"/>
          <w:sz w:val="20"/>
          <w:szCs w:val="20"/>
        </w:rPr>
        <w:t xml:space="preserve"> byl k dispozici pouze na vytištěném formuláři. Tuto unikátní kombinaci přístupových kódů tak mohla znát jen osoba, která daný formulář v listinné podobě převzala.</w:t>
      </w:r>
    </w:p>
    <w:p w:rsidR="00096A9F" w:rsidRPr="00C24253" w:rsidRDefault="00096A9F" w:rsidP="00096A9F">
      <w:pPr>
        <w:spacing w:after="120"/>
        <w:rPr>
          <w:rFonts w:cs="Arial"/>
          <w:sz w:val="20"/>
          <w:szCs w:val="20"/>
        </w:rPr>
      </w:pPr>
      <w:r w:rsidRPr="00C24253">
        <w:rPr>
          <w:rFonts w:cs="Arial"/>
          <w:sz w:val="20"/>
          <w:szCs w:val="20"/>
        </w:rPr>
        <w:t>Elektronické formuláře bylo možné vyplnit a odeslat v období stanoveném pro sběr formulářů, tj. až po ro</w:t>
      </w:r>
      <w:r w:rsidRPr="00C24253">
        <w:rPr>
          <w:rFonts w:cs="Arial"/>
          <w:sz w:val="20"/>
          <w:szCs w:val="20"/>
        </w:rPr>
        <w:t>z</w:t>
      </w:r>
      <w:r w:rsidRPr="00C24253">
        <w:rPr>
          <w:rFonts w:cs="Arial"/>
          <w:sz w:val="20"/>
          <w:szCs w:val="20"/>
        </w:rPr>
        <w:t>hodném okamžiku sčítání. Po zadání přístupových kódů na webovém portálu se objevil příslušný elektroni</w:t>
      </w:r>
      <w:r w:rsidRPr="00C24253">
        <w:rPr>
          <w:rFonts w:cs="Arial"/>
          <w:sz w:val="20"/>
          <w:szCs w:val="20"/>
        </w:rPr>
        <w:t>c</w:t>
      </w:r>
      <w:r w:rsidRPr="00C24253">
        <w:rPr>
          <w:rFonts w:cs="Arial"/>
          <w:sz w:val="20"/>
          <w:szCs w:val="20"/>
        </w:rPr>
        <w:t>ký formulář, který mohl respondent ihned vyplnit, nebo jej uložit ve svém počítači a vyplnit jej později. Po vyplnění bylo možné formulář odeslat jednoduše přes virtuální tlačítko umístěné přímo na e-formuláři. Přip</w:t>
      </w:r>
      <w:r w:rsidRPr="00C24253">
        <w:rPr>
          <w:rFonts w:cs="Arial"/>
          <w:sz w:val="20"/>
          <w:szCs w:val="20"/>
        </w:rPr>
        <w:t>o</w:t>
      </w:r>
      <w:r w:rsidRPr="00C24253">
        <w:rPr>
          <w:rFonts w:cs="Arial"/>
          <w:sz w:val="20"/>
          <w:szCs w:val="20"/>
        </w:rPr>
        <w:t>jení k internetu bylo nezbytně nutné jen pro získání a odeslání e-formuláře, při samotném vyplňování nikoliv. Formulář s vyplněnými údaji však z bezpečnostních důvodů nebylo možné uložit (uložil se pouze prázdný formulář bez údajů). Po vyplnění formuláře a on-line odeslání dat z formuláře do databáze ČSÚ se respo</w:t>
      </w:r>
      <w:r w:rsidRPr="00C24253">
        <w:rPr>
          <w:rFonts w:cs="Arial"/>
          <w:sz w:val="20"/>
          <w:szCs w:val="20"/>
        </w:rPr>
        <w:t>n</w:t>
      </w:r>
      <w:r w:rsidRPr="00C24253">
        <w:rPr>
          <w:rFonts w:cs="Arial"/>
          <w:sz w:val="20"/>
          <w:szCs w:val="20"/>
        </w:rPr>
        <w:t>dentovi automaticky vygenerovalo potvrzení o úspěšném převzetí dat na straně ČSÚ.</w:t>
      </w:r>
    </w:p>
    <w:p w:rsidR="0077322B" w:rsidRPr="00C24253" w:rsidRDefault="00096A9F" w:rsidP="00096A9F">
      <w:pPr>
        <w:spacing w:after="120"/>
        <w:rPr>
          <w:rFonts w:cs="Arial"/>
          <w:sz w:val="20"/>
          <w:szCs w:val="20"/>
        </w:rPr>
      </w:pPr>
      <w:r w:rsidRPr="00C24253">
        <w:rPr>
          <w:rFonts w:cs="Arial"/>
          <w:sz w:val="20"/>
          <w:szCs w:val="20"/>
        </w:rPr>
        <w:t>Údaje vyplněné do elektronického formuláře po jeho odeslání vstupovaly přes bezpečnostní rozhraní přímo jako datové věty do vstupní databáze. Tím odpadla časově náročná fáze pořizování údajů, kterou u tištěných formulářů představovalo skenování, optické rozpoznávání a validace pořízených údajů. Přínosem elektroni</w:t>
      </w:r>
      <w:r w:rsidRPr="00C24253">
        <w:rPr>
          <w:rFonts w:cs="Arial"/>
          <w:sz w:val="20"/>
          <w:szCs w:val="20"/>
        </w:rPr>
        <w:t>c</w:t>
      </w:r>
      <w:r w:rsidRPr="00C24253">
        <w:rPr>
          <w:rFonts w:cs="Arial"/>
          <w:sz w:val="20"/>
          <w:szCs w:val="20"/>
        </w:rPr>
        <w:t xml:space="preserve">kých formulářů byla rovněž částečná kontrola a zajištění větší kvality dat již při jejich sběru. </w:t>
      </w:r>
    </w:p>
    <w:p w:rsidR="00096A9F" w:rsidRPr="00C24253" w:rsidRDefault="00096A9F" w:rsidP="00096A9F">
      <w:pPr>
        <w:spacing w:after="120"/>
        <w:rPr>
          <w:rFonts w:cs="Arial"/>
          <w:sz w:val="20"/>
          <w:szCs w:val="20"/>
        </w:rPr>
      </w:pPr>
      <w:r w:rsidRPr="00C24253">
        <w:rPr>
          <w:rFonts w:cs="Arial"/>
          <w:sz w:val="20"/>
          <w:szCs w:val="20"/>
        </w:rPr>
        <w:t>V průběhu nebo po skončení vyplňování elektronického formuláře aplikace automaticky upozorňovala na případné nevyplněné otázky a kontrolovala některé logické vazby mezi odpověďmi. Kromě toho u některých otázek, kde očekávanou odpovědí byl slovní zápis, se respondentovi nabízel k výběru seznam položek; v případě jejich volby se následně do databáze odesílal již přímo kód zvolené položky. I v případě, že r</w:t>
      </w:r>
      <w:r w:rsidRPr="00C24253">
        <w:rPr>
          <w:rFonts w:cs="Arial"/>
          <w:sz w:val="20"/>
          <w:szCs w:val="20"/>
        </w:rPr>
        <w:t>e</w:t>
      </w:r>
      <w:r w:rsidRPr="00C24253">
        <w:rPr>
          <w:rFonts w:cs="Arial"/>
          <w:sz w:val="20"/>
          <w:szCs w:val="20"/>
        </w:rPr>
        <w:t>spondent nevybral ze seznamu, ale zapsal vlastní odpověď, odpadaly problémy způsobené chybným rozp</w:t>
      </w:r>
      <w:r w:rsidRPr="00C24253">
        <w:rPr>
          <w:rFonts w:cs="Arial"/>
          <w:sz w:val="20"/>
          <w:szCs w:val="20"/>
        </w:rPr>
        <w:t>o</w:t>
      </w:r>
      <w:r w:rsidRPr="00C24253">
        <w:rPr>
          <w:rFonts w:cs="Arial"/>
          <w:sz w:val="20"/>
          <w:szCs w:val="20"/>
        </w:rPr>
        <w:t>znáním při špatně čitelných ručních zápisech, takže následné automatizované kódování mělo u elektroni</w:t>
      </w:r>
      <w:r w:rsidRPr="00C24253">
        <w:rPr>
          <w:rFonts w:cs="Arial"/>
          <w:sz w:val="20"/>
          <w:szCs w:val="20"/>
        </w:rPr>
        <w:t>c</w:t>
      </w:r>
      <w:r w:rsidRPr="00C24253">
        <w:rPr>
          <w:rFonts w:cs="Arial"/>
          <w:sz w:val="20"/>
          <w:szCs w:val="20"/>
        </w:rPr>
        <w:t xml:space="preserve">kých formulářů zpravidla vyšší úspěšnost než u listinných. </w:t>
      </w:r>
    </w:p>
    <w:p w:rsidR="00096A9F" w:rsidRPr="00C24253" w:rsidRDefault="00096A9F" w:rsidP="00096A9F">
      <w:pPr>
        <w:spacing w:after="120"/>
        <w:rPr>
          <w:rFonts w:cs="Arial"/>
          <w:sz w:val="20"/>
          <w:szCs w:val="20"/>
        </w:rPr>
      </w:pPr>
      <w:r w:rsidRPr="00C24253">
        <w:rPr>
          <w:rFonts w:cs="Arial"/>
          <w:sz w:val="20"/>
          <w:szCs w:val="20"/>
        </w:rPr>
        <w:t>Jako nepříliš praktické bylo vyhodnoceno zasílání e-formulářů prostřednictvím datových schránek. Nebylo možné zajistit informace o vazbě mezi osobami, byty a domy, (což v terénu řešil sčítací komisař zapsáním přesné adresy a čísla bytu na předávané formuláře). Kromě toho stažení a odeslání formuláře přes webový portál bylo oproti datovým schránkám dostupnější a jednodušší, zvláště když počet datových schránek fyzi</w:t>
      </w:r>
      <w:r w:rsidRPr="00C24253">
        <w:rPr>
          <w:rFonts w:cs="Arial"/>
          <w:sz w:val="20"/>
          <w:szCs w:val="20"/>
        </w:rPr>
        <w:t>c</w:t>
      </w:r>
      <w:r w:rsidRPr="00C24253">
        <w:rPr>
          <w:rFonts w:cs="Arial"/>
          <w:sz w:val="20"/>
          <w:szCs w:val="20"/>
        </w:rPr>
        <w:lastRenderedPageBreak/>
        <w:t>kých osob v populaci byl stále velmi nízký. Rozesílání prostřednictvím datových schránek bylo proto upla</w:t>
      </w:r>
      <w:r w:rsidRPr="00C24253">
        <w:rPr>
          <w:rFonts w:cs="Arial"/>
          <w:sz w:val="20"/>
          <w:szCs w:val="20"/>
        </w:rPr>
        <w:t>t</w:t>
      </w:r>
      <w:r w:rsidRPr="00C24253">
        <w:rPr>
          <w:rFonts w:cs="Arial"/>
          <w:sz w:val="20"/>
          <w:szCs w:val="20"/>
        </w:rPr>
        <w:t xml:space="preserve">něno jen ve velmi omezeném rozsahu u domovních listů v případě velkých vlastníků domů. </w:t>
      </w:r>
    </w:p>
    <w:p w:rsidR="00096A9F" w:rsidRPr="00C24253" w:rsidRDefault="00096A9F" w:rsidP="00096A9F">
      <w:pPr>
        <w:spacing w:after="120"/>
        <w:rPr>
          <w:rFonts w:cs="Arial"/>
          <w:sz w:val="20"/>
          <w:szCs w:val="20"/>
        </w:rPr>
      </w:pPr>
      <w:r w:rsidRPr="00C24253">
        <w:rPr>
          <w:rFonts w:cs="Arial"/>
          <w:sz w:val="20"/>
          <w:szCs w:val="20"/>
        </w:rPr>
        <w:t>Vyplnění plné čtvrtiny formulářů elektronicky znamenalo významný úspěch sčítání a potvrdilo vysokou úči</w:t>
      </w:r>
      <w:r w:rsidRPr="00C24253">
        <w:rPr>
          <w:rFonts w:cs="Arial"/>
          <w:sz w:val="20"/>
          <w:szCs w:val="20"/>
        </w:rPr>
        <w:t>n</w:t>
      </w:r>
      <w:r w:rsidRPr="00C24253">
        <w:rPr>
          <w:rFonts w:cs="Arial"/>
          <w:sz w:val="20"/>
          <w:szCs w:val="20"/>
        </w:rPr>
        <w:t>nost tohoto způsobu přenosu informací. Nejčastěji byly e-formuláře využívány při vyplňování sčítacího listu osob. Ve vztahu k veřejnosti byl důležitý zejména fakt, že nedošlo k žádným výpadkům portálu v důsledku přetížení, ani k narušení bezpečnosti a ochrany údajů, ať už selháním systému nebo kybernetickými útoky.</w:t>
      </w:r>
    </w:p>
    <w:p w:rsidR="00096A9F" w:rsidRPr="00C24253" w:rsidRDefault="00096A9F" w:rsidP="00096A9F">
      <w:pPr>
        <w:spacing w:after="120"/>
        <w:rPr>
          <w:rFonts w:cs="Arial"/>
          <w:sz w:val="20"/>
          <w:szCs w:val="20"/>
        </w:rPr>
      </w:pPr>
      <w:r w:rsidRPr="00C24253">
        <w:rPr>
          <w:rFonts w:cs="Arial"/>
          <w:sz w:val="20"/>
          <w:szCs w:val="20"/>
        </w:rPr>
        <w:t xml:space="preserve">V době sčítání byly, kromě vysvětlivek distribuovaných do domácností spolu se sčítacími formuláři, veřejnosti k dispozici na webové stránce sčítání i další pomůcky pro vyplnění formulářů: vzory správně vyplněných formulářů, podrobnější vysvětlení či příklady vyplnění některých otázek ve formě FAQ, nebo videospoty s názornou ukázkou vyplnění formulářů. V elektronických formulářích byly vysvětlivky zakomponovány ve formě nápovědy u jednotlivých otázek formuláře. </w:t>
      </w:r>
    </w:p>
    <w:p w:rsidR="00096A9F" w:rsidRPr="00C24253" w:rsidRDefault="00096A9F" w:rsidP="00096A9F">
      <w:pPr>
        <w:spacing w:after="120"/>
        <w:rPr>
          <w:rFonts w:cs="Arial"/>
          <w:sz w:val="20"/>
          <w:szCs w:val="20"/>
        </w:rPr>
      </w:pPr>
      <w:r w:rsidRPr="00C24253">
        <w:rPr>
          <w:rFonts w:cs="Arial"/>
          <w:sz w:val="20"/>
          <w:szCs w:val="20"/>
        </w:rPr>
        <w:t>Na webové stránce sčítání (v omezené míře též ve vytištěné podobě na sběrných místech) byly pro veře</w:t>
      </w:r>
      <w:r w:rsidRPr="00C24253">
        <w:rPr>
          <w:rFonts w:cs="Arial"/>
          <w:sz w:val="20"/>
          <w:szCs w:val="20"/>
        </w:rPr>
        <w:t>j</w:t>
      </w:r>
      <w:r w:rsidRPr="00C24253">
        <w:rPr>
          <w:rFonts w:cs="Arial"/>
          <w:sz w:val="20"/>
          <w:szCs w:val="20"/>
        </w:rPr>
        <w:t>nost rovněž dostupné překlady sčítacích formulářů a vysvětlivek v 8 jazycích (angličtina, francouzština, ně</w:t>
      </w:r>
      <w:r w:rsidRPr="00C24253">
        <w:rPr>
          <w:rFonts w:cs="Arial"/>
          <w:sz w:val="20"/>
          <w:szCs w:val="20"/>
        </w:rPr>
        <w:t>m</w:t>
      </w:r>
      <w:r w:rsidRPr="00C24253">
        <w:rPr>
          <w:rFonts w:cs="Arial"/>
          <w:sz w:val="20"/>
          <w:szCs w:val="20"/>
        </w:rPr>
        <w:t>čina, polština, romština, ruština, ukrajinština, vietnamština). Ve formátu určeném pro přímé pořizování dat byly však vyhotoveny jen formuláře v češtině. Ostatní jazykové mutace sloužily pouze jako pomůcka pro vyplnění originálních formulářů.</w:t>
      </w:r>
    </w:p>
    <w:p w:rsidR="00096A9F" w:rsidRPr="00C24253" w:rsidRDefault="00217BE5" w:rsidP="001F34D8">
      <w:pPr>
        <w:pStyle w:val="Nadpis3"/>
      </w:pPr>
      <w:bookmarkStart w:id="6" w:name="_Toc371588131"/>
      <w:r w:rsidRPr="00C24253">
        <w:t>Využití administrativních zdrojů dat</w:t>
      </w:r>
      <w:bookmarkEnd w:id="6"/>
    </w:p>
    <w:p w:rsidR="00096A9F" w:rsidRPr="00C24253" w:rsidRDefault="00096A9F" w:rsidP="00096A9F">
      <w:pPr>
        <w:spacing w:after="120"/>
        <w:rPr>
          <w:rFonts w:cs="Arial"/>
          <w:sz w:val="20"/>
          <w:szCs w:val="20"/>
        </w:rPr>
      </w:pPr>
      <w:r w:rsidRPr="00C24253">
        <w:rPr>
          <w:rFonts w:cs="Arial"/>
          <w:sz w:val="20"/>
          <w:szCs w:val="20"/>
        </w:rPr>
        <w:t xml:space="preserve">Administrativní zdroje dat – jedna z významných inovativních charakteristik - byly využity ve všech fázích procesu sčítání, od přípravy přes vlastní sběr dat až po zpracování výsledků. Nutno podotknout, že v rámci Evropské unie není využívání administrativních zdrojů ničím výjimečným, při sčítání v roce 2011 se bez nich většina členských zemí neobešla. </w:t>
      </w:r>
    </w:p>
    <w:p w:rsidR="00096A9F" w:rsidRPr="00C24253" w:rsidRDefault="00096A9F" w:rsidP="002E4032">
      <w:pPr>
        <w:spacing w:before="120" w:after="240"/>
        <w:rPr>
          <w:rFonts w:cs="Arial"/>
          <w:sz w:val="20"/>
          <w:szCs w:val="20"/>
        </w:rPr>
      </w:pPr>
      <w:r w:rsidRPr="00C24253">
        <w:rPr>
          <w:rFonts w:cs="Arial"/>
          <w:sz w:val="20"/>
          <w:szCs w:val="20"/>
        </w:rPr>
        <w:t xml:space="preserve">Hlavními administrativními zdroji byly </w:t>
      </w:r>
      <w:r w:rsidRPr="00C24253">
        <w:rPr>
          <w:rFonts w:cs="Arial"/>
          <w:i/>
          <w:sz w:val="20"/>
          <w:szCs w:val="20"/>
        </w:rPr>
        <w:t xml:space="preserve">registr sčítacích obvodů (RSO) a </w:t>
      </w:r>
      <w:r w:rsidR="00CE0AA5">
        <w:rPr>
          <w:rFonts w:cs="Arial"/>
          <w:i/>
          <w:sz w:val="20"/>
          <w:szCs w:val="20"/>
        </w:rPr>
        <w:t>I</w:t>
      </w:r>
      <w:r w:rsidRPr="00C24253">
        <w:rPr>
          <w:rFonts w:cs="Arial"/>
          <w:i/>
          <w:sz w:val="20"/>
          <w:szCs w:val="20"/>
        </w:rPr>
        <w:t>nformační systém evidence obyvatel (ISEO)</w:t>
      </w:r>
      <w:r w:rsidRPr="00C24253">
        <w:rPr>
          <w:rFonts w:cs="Arial"/>
          <w:sz w:val="20"/>
          <w:szCs w:val="20"/>
        </w:rPr>
        <w:t xml:space="preserve">. Okrajově byla využita </w:t>
      </w:r>
      <w:r w:rsidRPr="00CE0AA5">
        <w:rPr>
          <w:rFonts w:cs="Arial"/>
          <w:sz w:val="20"/>
          <w:szCs w:val="20"/>
        </w:rPr>
        <w:t xml:space="preserve">i data </w:t>
      </w:r>
      <w:r w:rsidR="00CE0AA5" w:rsidRPr="00CE0AA5">
        <w:rPr>
          <w:rFonts w:cs="Arial"/>
          <w:i/>
          <w:sz w:val="20"/>
          <w:szCs w:val="20"/>
        </w:rPr>
        <w:t>I</w:t>
      </w:r>
      <w:r w:rsidRPr="00CE0AA5">
        <w:rPr>
          <w:rFonts w:cs="Arial"/>
          <w:i/>
          <w:sz w:val="20"/>
          <w:szCs w:val="20"/>
        </w:rPr>
        <w:t>nformačního systému katastru nemovitostí</w:t>
      </w:r>
      <w:r w:rsidRPr="00C24253">
        <w:rPr>
          <w:rFonts w:cs="Arial"/>
          <w:sz w:val="20"/>
          <w:szCs w:val="20"/>
        </w:rPr>
        <w:t xml:space="preserve"> (ISKN). Využití údajů RSO pro </w:t>
      </w:r>
      <w:r w:rsidRPr="00855589">
        <w:rPr>
          <w:rFonts w:cs="Arial"/>
          <w:sz w:val="20"/>
          <w:szCs w:val="20"/>
        </w:rPr>
        <w:t xml:space="preserve">sčítání bylo legislativně umožněno </w:t>
      </w:r>
      <w:r w:rsidR="00855589" w:rsidRPr="00855589">
        <w:rPr>
          <w:rFonts w:cs="Arial"/>
          <w:sz w:val="20"/>
          <w:szCs w:val="20"/>
        </w:rPr>
        <w:t>Z</w:t>
      </w:r>
      <w:r w:rsidRPr="00855589">
        <w:rPr>
          <w:rFonts w:cs="Arial"/>
          <w:sz w:val="20"/>
          <w:szCs w:val="20"/>
        </w:rPr>
        <w:t xml:space="preserve">ákonem </w:t>
      </w:r>
      <w:r w:rsidR="00CE0AA5">
        <w:rPr>
          <w:rFonts w:cs="Arial"/>
          <w:sz w:val="20"/>
          <w:szCs w:val="20"/>
        </w:rPr>
        <w:t xml:space="preserve">č. </w:t>
      </w:r>
      <w:r w:rsidRPr="00855589">
        <w:rPr>
          <w:rFonts w:cs="Arial"/>
          <w:sz w:val="20"/>
          <w:szCs w:val="20"/>
        </w:rPr>
        <w:t>89/1995 Sb., o státní sta</w:t>
      </w:r>
      <w:r w:rsidR="009C373D">
        <w:rPr>
          <w:rFonts w:cs="Arial"/>
          <w:sz w:val="20"/>
          <w:szCs w:val="20"/>
        </w:rPr>
        <w:t>tistické službě, využití ISEO a </w:t>
      </w:r>
      <w:r w:rsidRPr="00855589">
        <w:rPr>
          <w:rFonts w:cs="Arial"/>
          <w:sz w:val="20"/>
          <w:szCs w:val="20"/>
        </w:rPr>
        <w:t xml:space="preserve">ISKN hlavně </w:t>
      </w:r>
      <w:r w:rsidR="00CE0AA5">
        <w:rPr>
          <w:rFonts w:cs="Arial"/>
          <w:sz w:val="20"/>
          <w:szCs w:val="20"/>
        </w:rPr>
        <w:t>Z</w:t>
      </w:r>
      <w:r w:rsidRPr="00855589">
        <w:rPr>
          <w:rFonts w:cs="Arial"/>
          <w:sz w:val="20"/>
          <w:szCs w:val="20"/>
        </w:rPr>
        <w:t xml:space="preserve">ákonem </w:t>
      </w:r>
      <w:r w:rsidR="00CE0AA5">
        <w:rPr>
          <w:rFonts w:cs="Arial"/>
          <w:sz w:val="20"/>
          <w:szCs w:val="20"/>
        </w:rPr>
        <w:t xml:space="preserve">č. </w:t>
      </w:r>
      <w:r w:rsidRPr="00855589">
        <w:rPr>
          <w:rFonts w:cs="Arial"/>
          <w:sz w:val="20"/>
          <w:szCs w:val="20"/>
        </w:rPr>
        <w:t>296/2009 Sb., o sčítání lidu, domů a bytů v roce 2011.</w:t>
      </w:r>
    </w:p>
    <w:p w:rsidR="00096A9F" w:rsidRPr="00C24253" w:rsidRDefault="00096A9F" w:rsidP="00EF105C">
      <w:pPr>
        <w:pStyle w:val="Zkladntext"/>
        <w:ind w:firstLine="0"/>
        <w:rPr>
          <w:b/>
        </w:rPr>
      </w:pPr>
      <w:r w:rsidRPr="00C24253">
        <w:rPr>
          <w:b/>
        </w:rPr>
        <w:t>Informační systém katastru nemovitostí (ISKN)</w:t>
      </w:r>
    </w:p>
    <w:p w:rsidR="002E4032" w:rsidRPr="00C24253" w:rsidRDefault="00096A9F" w:rsidP="00EF105C">
      <w:pPr>
        <w:pStyle w:val="Zkladntext"/>
        <w:ind w:firstLine="0"/>
      </w:pPr>
      <w:r w:rsidRPr="00C24253">
        <w:t>Podle zákona o sčítání lidu (§ 9, odstavec 5, písmeno c) měl Český úřad zeměměři</w:t>
      </w:r>
      <w:r w:rsidR="00F75E12">
        <w:t>c</w:t>
      </w:r>
      <w:r w:rsidRPr="00C24253">
        <w:t>ký a katastrální povi</w:t>
      </w:r>
      <w:r w:rsidRPr="00C24253">
        <w:t>n</w:t>
      </w:r>
      <w:r w:rsidRPr="00C24253">
        <w:t>nost poskytnout pro účely sčítání údaje z ISKN, zejména údaje o vlastnících nemovitostí. Pomocí těchto údajů byli identifikování tzv. velcí vlastníci (právnické osoby, které vlastnily 5 a více domů), kteří byli adresně vyzváni k vyplnění domovních listů. Aktuální adresy sídel těchto vlastníků byly získány z  registru ekonomi</w:t>
      </w:r>
      <w:r w:rsidRPr="00C24253">
        <w:t>c</w:t>
      </w:r>
      <w:r w:rsidRPr="00C24253">
        <w:t>kých subjektů (RES), spravovaného ČSÚ. Data ISKN sice adresy vlastníků obsahovala také, ale jejich sp</w:t>
      </w:r>
      <w:r w:rsidRPr="00C24253">
        <w:t>o</w:t>
      </w:r>
      <w:r w:rsidRPr="00C24253">
        <w:t xml:space="preserve">lehlivost nebyla uspokojivá (v ISKN často nejsou evidovány změny sídla/bydliště majitelů nemovitostí). </w:t>
      </w:r>
    </w:p>
    <w:p w:rsidR="00096A9F" w:rsidRPr="00C24253" w:rsidRDefault="00096A9F" w:rsidP="002E4032">
      <w:pPr>
        <w:pStyle w:val="Zkladntext"/>
        <w:spacing w:after="240"/>
        <w:ind w:firstLine="0"/>
      </w:pPr>
      <w:r w:rsidRPr="00C24253">
        <w:t>Na základě dat ISKN byly identifikovány necelé tři tisíce velkých vlastníků, v jejichž majetku bylo přes 50 tisíc domů. Údaje ISKN byly propojeny se záznamy v RSO, aby bylo možné lokal</w:t>
      </w:r>
      <w:r w:rsidR="009C373D">
        <w:t>izovat domy velkých vlastníků a </w:t>
      </w:r>
      <w:r w:rsidRPr="00C24253">
        <w:t xml:space="preserve">předvyplnit pro ně domovní listy. </w:t>
      </w:r>
    </w:p>
    <w:p w:rsidR="00096A9F" w:rsidRPr="00C24253" w:rsidRDefault="00096A9F" w:rsidP="00EF105C">
      <w:pPr>
        <w:pStyle w:val="Zkladntext"/>
        <w:ind w:firstLine="0"/>
        <w:rPr>
          <w:b/>
        </w:rPr>
      </w:pPr>
      <w:r w:rsidRPr="00C24253">
        <w:rPr>
          <w:b/>
        </w:rPr>
        <w:t>Registr sčítacích obvodů (RSO)</w:t>
      </w:r>
    </w:p>
    <w:p w:rsidR="00096A9F" w:rsidRPr="00C24253" w:rsidRDefault="00096A9F" w:rsidP="00EF105C">
      <w:pPr>
        <w:pStyle w:val="Zkladntext"/>
        <w:ind w:firstLine="0"/>
      </w:pPr>
      <w:r w:rsidRPr="00C24253">
        <w:t xml:space="preserve">RSO byl založen v roce 1996 a je podle </w:t>
      </w:r>
      <w:r w:rsidR="00855589">
        <w:t>Z</w:t>
      </w:r>
      <w:r w:rsidRPr="00C24253">
        <w:t>ákona 89/1995 Sb., o státní statistické službě, spravován Českým statistickým úřadem. Obsahuje údaje o územních a územně evidenčních prvcích a údaje o budovách a b</w:t>
      </w:r>
      <w:r w:rsidRPr="00C24253">
        <w:t>y</w:t>
      </w:r>
      <w:r w:rsidRPr="00C24253">
        <w:t>tech. Základním konstitutivním zdrojem dat o budovách a způsobu jejich využití je ISKN. Dále má ČSÚ řadu externích i vlastních zdrojů (např. různá jednorázová či pravidelná statistická šetření), jimiž jsou data o b</w:t>
      </w:r>
      <w:r w:rsidRPr="00C24253">
        <w:t>u</w:t>
      </w:r>
      <w:r w:rsidRPr="00C24253">
        <w:t>dovách v RSO aktualizována. V rámci územní přípravy sčítání lidu byla provedena rozsáhlá revize stavu RSO ze strany obcí, při které obce kontrolovaly, zda údaje v RSO odpovídají skutečnosti.</w:t>
      </w:r>
    </w:p>
    <w:p w:rsidR="00096A9F" w:rsidRPr="00C24253" w:rsidRDefault="00096A9F" w:rsidP="00EF105C">
      <w:pPr>
        <w:pStyle w:val="Zkladntext"/>
        <w:ind w:firstLine="0"/>
      </w:pPr>
      <w:r w:rsidRPr="00C24253">
        <w:t>Úloha RSO při přípravě sčítání 2011 byla nezastupitelná. Data RSO sloužila jako podklad pro rozdělení území ČR na sčítací obvody, v nichž působili sčítací komisaři</w:t>
      </w:r>
      <w:r w:rsidRPr="00C24253">
        <w:rPr>
          <w:rStyle w:val="Znakapoznpodarou"/>
        </w:rPr>
        <w:footnoteReference w:id="5"/>
      </w:r>
      <w:r w:rsidRPr="00C24253">
        <w:t>. Z údajů RSO byly připraveny podpůrné mat</w:t>
      </w:r>
      <w:r w:rsidRPr="00C24253">
        <w:t>e</w:t>
      </w:r>
      <w:r w:rsidRPr="00C24253">
        <w:t>riály pro terénní práce a byly podle nich vytištěny a – pokud to bylo m</w:t>
      </w:r>
      <w:r w:rsidR="009C373D">
        <w:t>ožné – i předvyplněny domovní a </w:t>
      </w:r>
      <w:r w:rsidRPr="00C24253">
        <w:t>bytové listy. Domovní listy byly předvyplněny vždy, pokud byl daný údaj k dispozici. Bytové listy mohly být předvyplněny pouze pro byty v jednobytových domech, protože v domech s více byty by z důvodu neexist</w:t>
      </w:r>
      <w:r w:rsidRPr="00C24253">
        <w:t>u</w:t>
      </w:r>
      <w:r w:rsidRPr="00C24253">
        <w:t xml:space="preserve">jící evidence bytů bylo prakticky nemožné při distribuci formulářů určit, do kterého bytu by který bytový list patřil. </w:t>
      </w:r>
    </w:p>
    <w:p w:rsidR="00096A9F" w:rsidRPr="00C24253" w:rsidRDefault="00096A9F" w:rsidP="00EF105C">
      <w:pPr>
        <w:pStyle w:val="Zkladntext"/>
        <w:ind w:firstLine="0"/>
      </w:pPr>
      <w:r w:rsidRPr="00C24253">
        <w:lastRenderedPageBreak/>
        <w:t>Respondenti, případně sami sčítací komisaři měli povinnost předvyplněné údaje opravit v případě, že byly v rozporu se skutečným aktuálním stavem. Údaje z RSO, které nebyly na domovních (bytových) listech opraveny (resp. se tyto listy z terénu nevrátily), vstoupily do zpracování výsledků. Tím se sčítání 2011 vyčl</w:t>
      </w:r>
      <w:r w:rsidRPr="00C24253">
        <w:t>e</w:t>
      </w:r>
      <w:r w:rsidRPr="00C24253">
        <w:t>nilo ze skupiny tradičních cenzů, v nichž mohou být registry rovněž využívány jako podpora, ale jejich údaje nejsou zdrojem dat pro vlastní cenzus a nemohou tedy ovlivnit výsledky.</w:t>
      </w:r>
    </w:p>
    <w:p w:rsidR="00096A9F" w:rsidRPr="00C24253" w:rsidRDefault="00096A9F" w:rsidP="002E4032">
      <w:pPr>
        <w:pStyle w:val="Zkladntext"/>
        <w:spacing w:after="240"/>
        <w:ind w:firstLine="0"/>
      </w:pPr>
      <w:r w:rsidRPr="00C24253">
        <w:t>RSO je registr vlastněný Českým statistickým úřadem, který tak může alespoň do určité míry zajistit, aby stav uložených dat vyhovoval potřebám sčítání. Soulad RSO se skutečným stavem lze navíc před sčítáním poměrně dobře ověřit, např. zmíněnou revizí v obcích či tzv. informativní pochůzkou, kterou sčítací komisaři provedli těsně před distribucí formulářů. Z tohoto hlediska bylo výrazně komplikovanější využití dalšího administrativního zdroje, informačního systému evidence obyvatel (ISEO).</w:t>
      </w:r>
    </w:p>
    <w:p w:rsidR="00096A9F" w:rsidRPr="00C24253" w:rsidRDefault="00096A9F" w:rsidP="00EF105C">
      <w:pPr>
        <w:pStyle w:val="Zkladntext"/>
        <w:ind w:firstLine="0"/>
        <w:rPr>
          <w:b/>
        </w:rPr>
      </w:pPr>
      <w:r w:rsidRPr="00C24253">
        <w:rPr>
          <w:b/>
        </w:rPr>
        <w:t>Informační systém evidence obyvatel (ISEO)</w:t>
      </w:r>
    </w:p>
    <w:p w:rsidR="00096A9F" w:rsidRPr="00C24253" w:rsidRDefault="00096A9F" w:rsidP="00EF105C">
      <w:pPr>
        <w:pStyle w:val="Zkladntext"/>
        <w:ind w:firstLine="0"/>
      </w:pPr>
      <w:r w:rsidRPr="00C24253">
        <w:t>Základ ISEO byl položen v roce 1980, kdy podle vyhlášky tehdejšího Federálního ministerstva vnitra (vyhláška č. 4/1980  Sb</w:t>
      </w:r>
      <w:r w:rsidRPr="00F75E12">
        <w:t xml:space="preserve">., </w:t>
      </w:r>
      <w:r w:rsidRPr="00F75E12">
        <w:rPr>
          <w:iCs/>
        </w:rPr>
        <w:t>o mimořádném hlášení pobytu občanů</w:t>
      </w:r>
      <w:r w:rsidRPr="00C24253">
        <w:t xml:space="preserve">) museli státní občané ČSSR s trvalým pobytem na území státu nahlásit svůj pobyt k 1. 11. 1980, což byl zároveň rozhodný okamžik sčítání. Tímto způsobem byly shromážděny informace pro vytvoření centrálního registru občanů. ISEO je následníkem tohoto registru. </w:t>
      </w:r>
      <w:r w:rsidRPr="00855589">
        <w:t xml:space="preserve">Byl zřízen podle </w:t>
      </w:r>
      <w:r w:rsidR="00855589" w:rsidRPr="006A0A08">
        <w:t>Z</w:t>
      </w:r>
      <w:r w:rsidRPr="006A0A08">
        <w:t>ákona č. 133/200</w:t>
      </w:r>
      <w:r w:rsidR="006A0A08" w:rsidRPr="006A0A08">
        <w:t>0</w:t>
      </w:r>
      <w:r w:rsidRPr="00855589">
        <w:t xml:space="preserve"> Sb., o evidenci obyvatel a rodných číslech</w:t>
      </w:r>
      <w:r w:rsidRPr="00C24253">
        <w:rPr>
          <w:iCs/>
        </w:rPr>
        <w:t>,</w:t>
      </w:r>
      <w:r w:rsidRPr="00C24253">
        <w:rPr>
          <w:i/>
        </w:rPr>
        <w:t xml:space="preserve"> </w:t>
      </w:r>
      <w:r w:rsidRPr="00C24253">
        <w:rPr>
          <w:iCs/>
        </w:rPr>
        <w:t>a</w:t>
      </w:r>
      <w:r w:rsidRPr="00C24253">
        <w:t xml:space="preserve"> v době sčítání 2011 obsahoval údaje o občanech ČR, o cizincích s povolením k pobytu na našem území a o cizincích, kterým byla na území ČR udělena mezinárodní ochrana. </w:t>
      </w:r>
    </w:p>
    <w:p w:rsidR="00096A9F" w:rsidRPr="00C24253" w:rsidRDefault="00096A9F" w:rsidP="00EF105C">
      <w:pPr>
        <w:pStyle w:val="Zkladntext"/>
        <w:ind w:firstLine="0"/>
      </w:pPr>
      <w:r w:rsidRPr="00C24253">
        <w:t xml:space="preserve">Využití ISEO ve sčítání lidu 2011 bylo umožněno novelou </w:t>
      </w:r>
      <w:r w:rsidR="00855589">
        <w:t>Z</w:t>
      </w:r>
      <w:r w:rsidRPr="00C24253">
        <w:t xml:space="preserve">ákona č. 89/1995 Sb., </w:t>
      </w:r>
      <w:r w:rsidRPr="00855589">
        <w:t xml:space="preserve">o státní statistické službě, a </w:t>
      </w:r>
      <w:r w:rsidR="00855589">
        <w:t>Z</w:t>
      </w:r>
      <w:r w:rsidRPr="00855589">
        <w:t>ákonem č. 296/2009</w:t>
      </w:r>
      <w:r w:rsidR="00855589">
        <w:t xml:space="preserve"> Sb.</w:t>
      </w:r>
      <w:r w:rsidRPr="00855589">
        <w:t>, o sčítání lidu, domů a bytů v roce 2011. Stejně jako RSO i</w:t>
      </w:r>
      <w:r w:rsidRPr="00C24253">
        <w:t xml:space="preserve"> data z</w:t>
      </w:r>
      <w:r w:rsidR="00662F08" w:rsidRPr="00C24253">
        <w:t xml:space="preserve"> </w:t>
      </w:r>
      <w:r w:rsidRPr="00C24253">
        <w:t>ISEO byla využita ve fázi přípravy i zpracování sčítání. Podle údajů o adrese pobytu platné k</w:t>
      </w:r>
      <w:r w:rsidR="00662F08" w:rsidRPr="00C24253">
        <w:t xml:space="preserve"> </w:t>
      </w:r>
      <w:r w:rsidRPr="00C24253">
        <w:t>1.</w:t>
      </w:r>
      <w:r w:rsidR="00662F08" w:rsidRPr="00C24253">
        <w:t xml:space="preserve"> </w:t>
      </w:r>
      <w:r w:rsidRPr="00C24253">
        <w:t>11.</w:t>
      </w:r>
      <w:r w:rsidR="00662F08" w:rsidRPr="00C24253">
        <w:t xml:space="preserve"> </w:t>
      </w:r>
      <w:r w:rsidRPr="00C24253">
        <w:t>2010 byly pro občany a evidované cizince vytištěny sčítací listy osob (aktuálnější data nebylo možné využít, protože bylo nezbytné ponechat čas na vytištění). Na rozdíl od domovních a bytových listů však na sčítacích listech osob nemohly být z důvodu ochrany osobních údajů předvyplněny žádné otázky. Předtištěna byla pouze adresa, jméno a příjmení, všechny otázky vyplňovali respondenti</w:t>
      </w:r>
      <w:r w:rsidRPr="00C24253">
        <w:rPr>
          <w:rStyle w:val="Znakapoznpodarou"/>
        </w:rPr>
        <w:footnoteReference w:id="6"/>
      </w:r>
      <w:r w:rsidRPr="00C24253">
        <w:t xml:space="preserve">. </w:t>
      </w:r>
    </w:p>
    <w:p w:rsidR="00096A9F" w:rsidRPr="00C24253" w:rsidRDefault="00096A9F" w:rsidP="00EF105C">
      <w:pPr>
        <w:pStyle w:val="Zkladntext"/>
        <w:ind w:firstLine="0"/>
      </w:pPr>
      <w:r w:rsidRPr="00C24253">
        <w:t xml:space="preserve">S několikaměsíčním odstupem od rozhodného okamžiku sčítání byly z ISEO staženy záznamy platné k rozhodnému okamžiku sčítání (odstup byl plánovaný z důvodu zachycení případných opožděných aktualizací v ISEO). Na ně bylo nutné napojit datové věty získané ze sčítacích formulářů. K tomu by teoreticky mělo postačit rodné číslo, ve skutečnosti však byla situace složitější (např. na formuláři nebylo rodné číslo správně a čitelně uvedeno, řada evidovaných cizinců nemá rodné číslo přiděleno, stále se vyskytují duplicitní rodná čísla atd.). </w:t>
      </w:r>
    </w:p>
    <w:p w:rsidR="00662F08" w:rsidRPr="00C24253" w:rsidRDefault="00096A9F" w:rsidP="00EF105C">
      <w:pPr>
        <w:pStyle w:val="Zkladntext"/>
        <w:ind w:firstLine="0"/>
      </w:pPr>
      <w:r w:rsidRPr="00C24253">
        <w:t xml:space="preserve">Tzv. párování záznamů ISEO s formuláři (datovými větami) proto probíhalo ve dvou krocích. Prvním krokem byl pokus o propojení přes rodné číslo. Pokud se rodné číslo v záznamu ISEO shodovalo s rodným číslem na více formulářích, byla vyžadována ještě plná shoda jména a příjmení. Zhruba k 95 % formulářů se v tomto kroku podařilo nalézt příslušný záznam ISEO. </w:t>
      </w:r>
    </w:p>
    <w:p w:rsidR="00662F08" w:rsidRPr="00C24253" w:rsidRDefault="00096A9F" w:rsidP="00EF105C">
      <w:pPr>
        <w:pStyle w:val="Zkladntext"/>
        <w:ind w:firstLine="0"/>
      </w:pPr>
      <w:r w:rsidRPr="00C24253">
        <w:t xml:space="preserve">Pro zbylé formuláře bylo ve druhém kroku využito metod tzv, pravděpodobnostního párování, při kterém se posuzovala míra shody jména, příjmení, data narození a rodného čísla na formuláři a v ISEO. Na základě výsledků testování se uvedeným identifikátorům přidělily různé váhy a byla stanovena hraniční míra shody, nutná k propojení. Takto se podařilo na ISEO napárovat přibližně 60 % formulářů, na které byla tato metoda použita (tj. které nebyly napárovány přes rodné číslo v prvním kroku). </w:t>
      </w:r>
    </w:p>
    <w:p w:rsidR="00096A9F" w:rsidRPr="00C24253" w:rsidRDefault="00662F08" w:rsidP="00EF105C">
      <w:pPr>
        <w:pStyle w:val="Zkladntext"/>
        <w:ind w:firstLine="0"/>
      </w:pPr>
      <w:r w:rsidRPr="00C24253">
        <w:t>Z</w:t>
      </w:r>
      <w:r w:rsidR="00096A9F" w:rsidRPr="00C24253">
        <w:t>hruba 127 tisíc formulářů, které se nepodařilo propojit s</w:t>
      </w:r>
      <w:r w:rsidRPr="00C24253">
        <w:t xml:space="preserve"> </w:t>
      </w:r>
      <w:r w:rsidR="00096A9F" w:rsidRPr="00C24253">
        <w:t>žádným záznamem</w:t>
      </w:r>
      <w:r w:rsidR="00B01773" w:rsidRPr="00C24253">
        <w:t>,</w:t>
      </w:r>
      <w:r w:rsidR="00096A9F" w:rsidRPr="00C24253">
        <w:t xml:space="preserve"> </w:t>
      </w:r>
      <w:r w:rsidRPr="00C24253">
        <w:t>s</w:t>
      </w:r>
      <w:r w:rsidR="00096A9F" w:rsidRPr="00C24253">
        <w:t> velkou pravděpodobností vyplnily osoby neevidované v ISEO (především cizinci, případně občané bez platného pobytu na našem území)</w:t>
      </w:r>
      <w:r w:rsidRPr="00C24253">
        <w:t>.</w:t>
      </w:r>
      <w:r w:rsidR="00096A9F" w:rsidRPr="00C24253">
        <w:t xml:space="preserve"> </w:t>
      </w:r>
      <w:r w:rsidRPr="00C24253">
        <w:t>N</w:t>
      </w:r>
      <w:r w:rsidR="00096A9F" w:rsidRPr="00C24253">
        <w:t>elze však vyloučit ani neúspěšné pokusy o propojení, způsobené nečitelně, neúplně či výrazně chybně vyplněnými identifikačními údaji na sčítacím listu. Naopak na straně ISEO zbylo 693 tisíc záznamů, na které se nenapojil žádný sčítací formulář.</w:t>
      </w:r>
    </w:p>
    <w:p w:rsidR="00662F08" w:rsidRPr="00C24253" w:rsidRDefault="00096A9F" w:rsidP="00EF105C">
      <w:pPr>
        <w:pStyle w:val="Zkladntext"/>
        <w:ind w:firstLine="0"/>
      </w:pPr>
      <w:r w:rsidRPr="00C24253">
        <w:rPr>
          <w:b/>
        </w:rPr>
        <w:t>Nejvýznamnější úlohou ISEO</w:t>
      </w:r>
      <w:r w:rsidRPr="00C24253">
        <w:t xml:space="preserve"> ve sčítání bylo získat alespoň základní údaje o osobách, které se nepodařilo sečíst v terénu prostřednictvím formulářů. K tomu však bylo nutné vyřešit problém, se kterým se potýká většina populačních registrů, ISEO nevyjímaje – přetrvávání záznamů o osobách, které již na území státu nežijí, tj. vystěhovalých do zahraničí či zemřelých (zejména vystěhování do zahraničí se často nedaří podchytit). </w:t>
      </w:r>
    </w:p>
    <w:p w:rsidR="00096A9F" w:rsidRPr="00C24253" w:rsidRDefault="00096A9F" w:rsidP="00EF105C">
      <w:pPr>
        <w:pStyle w:val="Zkladntext"/>
        <w:ind w:firstLine="0"/>
      </w:pPr>
      <w:r w:rsidRPr="00C24253">
        <w:t>Pro zahrnutí záznam musel splňovat alespoň jednu z následujících podmínek, aby mohl být do sčítání zahrnut:</w:t>
      </w:r>
    </w:p>
    <w:p w:rsidR="00096A9F" w:rsidRPr="00C24253" w:rsidRDefault="00B3327E" w:rsidP="00662F08">
      <w:pPr>
        <w:pStyle w:val="odrkyzlevaodsazeno0"/>
      </w:pPr>
      <w:r w:rsidRPr="00C24253">
        <w:t>n</w:t>
      </w:r>
      <w:r w:rsidR="00096A9F" w:rsidRPr="00C24253">
        <w:t>a záznam ISEO se napároval odevzdaný sčítací formulář</w:t>
      </w:r>
    </w:p>
    <w:p w:rsidR="00096A9F" w:rsidRPr="00C24253" w:rsidRDefault="00B3327E" w:rsidP="00662F08">
      <w:pPr>
        <w:pStyle w:val="odrkyzlevaodsazeno0"/>
      </w:pPr>
      <w:r w:rsidRPr="00C24253">
        <w:t>p</w:t>
      </w:r>
      <w:r w:rsidR="00096A9F" w:rsidRPr="00C24253">
        <w:t>ředv</w:t>
      </w:r>
      <w:r w:rsidR="00617043" w:rsidRPr="00C24253">
        <w:t>y</w:t>
      </w:r>
      <w:r w:rsidR="00096A9F" w:rsidRPr="00C24253">
        <w:t>plněný formulář určený pro danou evidovanou osobu byl úspěšně distribuován do domácnosti, ale nevrátil se.</w:t>
      </w:r>
    </w:p>
    <w:p w:rsidR="00096A9F" w:rsidRPr="00C24253" w:rsidRDefault="00B3327E" w:rsidP="00662F08">
      <w:pPr>
        <w:pStyle w:val="odrkyzlevaodsazeno0"/>
      </w:pPr>
      <w:r w:rsidRPr="00C24253">
        <w:t xml:space="preserve">V </w:t>
      </w:r>
      <w:r w:rsidR="00096A9F" w:rsidRPr="00C24253">
        <w:t>záznamu ISEO došlo v posledních pěti letech ke změně některého z vybraných údajů.</w:t>
      </w:r>
    </w:p>
    <w:p w:rsidR="00096A9F" w:rsidRPr="00C24253" w:rsidRDefault="00096A9F" w:rsidP="00EF105C">
      <w:pPr>
        <w:pStyle w:val="Zkladntext"/>
        <w:ind w:firstLine="0"/>
      </w:pPr>
      <w:r w:rsidRPr="00C24253">
        <w:t>Vyhovění některé z těchto podmínek bylo chápáno jako indicie, že daná evidovaná osoba se pravděpodobně na našem území skutečně vyskytuje. Pro nesplnění uvedených kritérií bylo z dalšího zpracování vyřazeno celkem 274 tisíc záznamů ISEO. Zbylých 419 tisíc záznamů ISEO, které nebyly propojeny s odevzdaným formulářem, bylo využito k rozšíření souboru sečtených osob.</w:t>
      </w:r>
    </w:p>
    <w:p w:rsidR="00096A9F" w:rsidRPr="00C24253" w:rsidRDefault="00096A9F" w:rsidP="00EF105C">
      <w:pPr>
        <w:pStyle w:val="Zkladntext"/>
        <w:ind w:firstLine="0"/>
      </w:pPr>
      <w:r w:rsidRPr="00C24253">
        <w:t>Dalším užitkem ISEO bylo získání údajů, které nebyly na formuláři zjišťovány. Především to bylo místo trvalého (u cizinců případně přechodného či dlouhodobého) pobytu, ale i další informace sloužící jako podpora pro zpracování. Konečně posledním využitím ISEO bylo nahrazení některých chybějících či zjevně chybných odpovědí na formulářích.</w:t>
      </w:r>
    </w:p>
    <w:p w:rsidR="00096A9F" w:rsidRPr="00C24253" w:rsidRDefault="00096A9F" w:rsidP="00EF105C">
      <w:pPr>
        <w:pStyle w:val="Zkladntext"/>
        <w:ind w:firstLine="0"/>
      </w:pPr>
      <w:r w:rsidRPr="00C24253">
        <w:t>Ačkoliv spolehlivost údajů v administrativních zdrojích nebyla ve všech případech na zcela uspokojivé úrovni (např. datum sňatku v ISEO nemohlo být z tohoto důvodu použito), je nepochybné, že jejich využití zásadně přispělo ke kvalitě výsledků sčítání 2011. Stejně jako v jiných evropských zemích, i u nás se ukázalo, že vyčerpávající dotazníkové šetření je stále obtížněji realizovatelné. Je zjevné, že moderní sčítání lidu se bez širokého využití administrativních zdrojů již nemůže obejít.</w:t>
      </w:r>
    </w:p>
    <w:p w:rsidR="00096A9F" w:rsidRPr="00C24253" w:rsidRDefault="00217BE5" w:rsidP="001F34D8">
      <w:pPr>
        <w:pStyle w:val="Nadpis3"/>
      </w:pPr>
      <w:bookmarkStart w:id="7" w:name="_Toc371588132"/>
      <w:r w:rsidRPr="00C24253">
        <w:t>Zpracování dat a diseminace výstupů</w:t>
      </w:r>
      <w:bookmarkEnd w:id="7"/>
    </w:p>
    <w:p w:rsidR="00096A9F" w:rsidRPr="00C24253" w:rsidRDefault="00096A9F" w:rsidP="00EF105C">
      <w:pPr>
        <w:spacing w:after="120"/>
        <w:rPr>
          <w:rFonts w:cs="Arial"/>
          <w:sz w:val="20"/>
          <w:szCs w:val="20"/>
        </w:rPr>
      </w:pPr>
      <w:r w:rsidRPr="00C24253">
        <w:rPr>
          <w:rFonts w:cs="Arial"/>
          <w:sz w:val="20"/>
          <w:szCs w:val="20"/>
        </w:rPr>
        <w:t xml:space="preserve">Zpracování dat sčítání 2011 bylo determinováno variabilitou sběru vyplněných sčítacích formulářů. Respondent mohl volit mezi předáním formuláře sčítacímu komisaři, odesláním formuláře v obálce poštou nebo vyplněním formuláře elektronicky. Již etapa pořízení vstupů měla proto odlišný průběh od předchozích cenzů. </w:t>
      </w:r>
    </w:p>
    <w:p w:rsidR="00096A9F" w:rsidRPr="00C24253" w:rsidRDefault="00096A9F" w:rsidP="00EF105C">
      <w:pPr>
        <w:spacing w:after="120"/>
        <w:rPr>
          <w:rFonts w:cs="Arial"/>
          <w:sz w:val="20"/>
          <w:szCs w:val="20"/>
        </w:rPr>
      </w:pPr>
      <w:r w:rsidRPr="00C24253">
        <w:rPr>
          <w:rFonts w:cs="Arial"/>
          <w:sz w:val="20"/>
          <w:szCs w:val="20"/>
        </w:rPr>
        <w:t xml:space="preserve">Na sběr formulářů navázalo bezprostředně pořízení dat z listinných formulářů, které probíhalo v období duben-září 2011. Zahrnovalo fáze skenování (digitalizace listinných formulářů), OCR (automatické rozpoznání </w:t>
      </w:r>
      <w:r w:rsidRPr="00F246D1">
        <w:rPr>
          <w:rFonts w:cs="Arial"/>
          <w:sz w:val="20"/>
          <w:szCs w:val="20"/>
        </w:rPr>
        <w:t xml:space="preserve">textu </w:t>
      </w:r>
      <w:r w:rsidRPr="00F246D1">
        <w:rPr>
          <w:rStyle w:val="st"/>
          <w:rFonts w:ascii="Arial" w:hAnsi="Arial" w:cs="Arial"/>
          <w:sz w:val="20"/>
          <w:szCs w:val="20"/>
        </w:rPr>
        <w:t xml:space="preserve">Optical Character </w:t>
      </w:r>
      <w:r w:rsidRPr="00F246D1">
        <w:rPr>
          <w:rFonts w:cs="Arial"/>
          <w:sz w:val="20"/>
          <w:szCs w:val="20"/>
        </w:rPr>
        <w:t>Recognition</w:t>
      </w:r>
      <w:r w:rsidRPr="00C24253">
        <w:rPr>
          <w:rFonts w:cs="Arial"/>
          <w:sz w:val="20"/>
          <w:szCs w:val="20"/>
        </w:rPr>
        <w:t xml:space="preserve">), validace (manuální verifikace a validace) a export dat do zpracovatelské databáze. Celkem bylo v rámci procesu skenování zpracováno téměř 13 milionů unikátních formulářů. Kromě listinných formulářů bylo vyplněno a odesláno více než 4,3 milionu elektronických formulářů. </w:t>
      </w:r>
    </w:p>
    <w:p w:rsidR="00096A9F" w:rsidRPr="00C24253" w:rsidRDefault="00096A9F" w:rsidP="00EF105C">
      <w:pPr>
        <w:pStyle w:val="normalnsodrkami"/>
        <w:tabs>
          <w:tab w:val="clear" w:pos="720"/>
        </w:tabs>
        <w:spacing w:after="120"/>
        <w:ind w:left="0" w:firstLine="0"/>
        <w:rPr>
          <w:rFonts w:cs="Arial"/>
          <w:sz w:val="20"/>
          <w:szCs w:val="20"/>
        </w:rPr>
      </w:pPr>
      <w:r w:rsidRPr="00C24253">
        <w:rPr>
          <w:rFonts w:cs="Arial"/>
          <w:sz w:val="20"/>
          <w:szCs w:val="20"/>
        </w:rPr>
        <w:t>Proces zpracování dat měl rámcově obdobný průběh jako při sčítání 2001. Př</w:t>
      </w:r>
      <w:r w:rsidR="009C373D">
        <w:rPr>
          <w:rFonts w:cs="Arial"/>
          <w:sz w:val="20"/>
          <w:szCs w:val="20"/>
        </w:rPr>
        <w:t>esto byly součástí zpracování i </w:t>
      </w:r>
      <w:r w:rsidRPr="00C24253">
        <w:rPr>
          <w:rFonts w:cs="Arial"/>
          <w:sz w:val="20"/>
          <w:szCs w:val="20"/>
        </w:rPr>
        <w:t>nové postupy a procesy, které reagovaly především na jiný způsob sběru formulářů. Výrazně vyšší bylo zastoupení automatizovaných postupů ve zpracování – nově např. automatická část kódování slovních záznamů pomocí připravených slovníků, kontroly pouze s autokorekcí, automatická datová burza. Manuální zásahy operátorů s využitím speciálních aplikací byly pouze ve fázi validace (po skenování) a kódování textových položek a adres v případech, které se nepodařilo vyřešit programem.</w:t>
      </w:r>
    </w:p>
    <w:p w:rsidR="00096A9F" w:rsidRPr="00C24253" w:rsidRDefault="00096A9F" w:rsidP="00EF105C">
      <w:pPr>
        <w:pStyle w:val="Default"/>
        <w:spacing w:after="120"/>
        <w:jc w:val="both"/>
        <w:rPr>
          <w:rFonts w:ascii="Arial" w:hAnsi="Arial" w:cs="Arial"/>
          <w:color w:val="auto"/>
          <w:sz w:val="20"/>
          <w:szCs w:val="20"/>
        </w:rPr>
      </w:pPr>
      <w:r w:rsidRPr="00C24253">
        <w:rPr>
          <w:rFonts w:ascii="Arial" w:hAnsi="Arial" w:cs="Arial"/>
          <w:color w:val="auto"/>
          <w:sz w:val="20"/>
          <w:szCs w:val="20"/>
        </w:rPr>
        <w:t xml:space="preserve">Základní odlišností byl postup vytvoření vstupní databáze. Vyplněné listinné formuláře nebyly skenovány v ucelených územně homogenních celcích. Významnou změnou bylo i to, že proces kódování následoval až po digitalizaci, (zatímco v roce 2001 bylo ruční kódování na začátku celého procesu a digitalizace na něj teprve navazovala). Kódování již digitalizovaných dat umožnilo využít nově i proces kódování automatického a použití speciálních aplikací pro kódování slovních zápisů a kódování celých adres v územních souvislostech. </w:t>
      </w:r>
    </w:p>
    <w:p w:rsidR="00096A9F" w:rsidRPr="00C24253" w:rsidRDefault="00096A9F" w:rsidP="00EF105C">
      <w:pPr>
        <w:pStyle w:val="Default"/>
        <w:spacing w:after="120"/>
        <w:jc w:val="both"/>
        <w:rPr>
          <w:rFonts w:ascii="Arial" w:hAnsi="Arial" w:cs="Arial"/>
          <w:color w:val="auto"/>
          <w:sz w:val="20"/>
          <w:szCs w:val="20"/>
        </w:rPr>
      </w:pPr>
      <w:r w:rsidRPr="00C24253">
        <w:rPr>
          <w:rFonts w:ascii="Arial" w:hAnsi="Arial" w:cs="Arial"/>
          <w:color w:val="auto"/>
          <w:sz w:val="20"/>
          <w:szCs w:val="20"/>
        </w:rPr>
        <w:t>Tradičními součástmi zpracování byly kontroly přípustnosti, logické kontroly, odvozování ukazatelů, odvozování domácností a dojížďkových proudů. Zcela novými procesy byly deduplikace a prioritizace, odvozování místa obvyklého pobytu a datová burza.</w:t>
      </w:r>
    </w:p>
    <w:p w:rsidR="00096A9F" w:rsidRPr="00C24253" w:rsidRDefault="00096A9F" w:rsidP="00EF105C">
      <w:pPr>
        <w:spacing w:after="120"/>
        <w:rPr>
          <w:rFonts w:cs="Arial"/>
          <w:sz w:val="20"/>
          <w:szCs w:val="20"/>
        </w:rPr>
      </w:pPr>
      <w:r w:rsidRPr="00C24253">
        <w:rPr>
          <w:rFonts w:cs="Arial"/>
          <w:sz w:val="20"/>
          <w:szCs w:val="20"/>
        </w:rPr>
        <w:t xml:space="preserve">Automatickým kódováním bylo vyřešeno 221,5 milionu vstupních (jednotlivých) záznamů. Do </w:t>
      </w:r>
      <w:r w:rsidRPr="00C24253">
        <w:rPr>
          <w:rFonts w:cs="Arial"/>
          <w:bCs/>
          <w:sz w:val="20"/>
          <w:szCs w:val="20"/>
        </w:rPr>
        <w:t>manuálního</w:t>
      </w:r>
      <w:r w:rsidRPr="00C24253">
        <w:rPr>
          <w:rFonts w:cs="Arial"/>
          <w:sz w:val="20"/>
          <w:szCs w:val="20"/>
        </w:rPr>
        <w:t xml:space="preserve"> kódování postoupilo téměř 3,3 milionu jednotlivých textových záznamů a 1,5 milionu adres. </w:t>
      </w:r>
    </w:p>
    <w:p w:rsidR="00096A9F" w:rsidRPr="00C24253" w:rsidRDefault="00096A9F" w:rsidP="00EF105C">
      <w:pPr>
        <w:spacing w:after="120"/>
        <w:rPr>
          <w:rFonts w:cs="Arial"/>
          <w:sz w:val="20"/>
          <w:szCs w:val="20"/>
        </w:rPr>
      </w:pPr>
      <w:r w:rsidRPr="00C24253">
        <w:rPr>
          <w:rFonts w:cs="Arial"/>
          <w:sz w:val="20"/>
          <w:szCs w:val="20"/>
        </w:rPr>
        <w:t xml:space="preserve">Celkový počet definovaných kontrol přípustnosti byl </w:t>
      </w:r>
      <w:r w:rsidRPr="00C24253">
        <w:rPr>
          <w:rFonts w:cs="Arial"/>
          <w:bCs/>
          <w:sz w:val="20"/>
          <w:szCs w:val="20"/>
        </w:rPr>
        <w:t>216</w:t>
      </w:r>
      <w:r w:rsidRPr="00C24253">
        <w:rPr>
          <w:rFonts w:cs="Arial"/>
          <w:sz w:val="20"/>
          <w:szCs w:val="20"/>
        </w:rPr>
        <w:t xml:space="preserve">, počet logických kontrol byl </w:t>
      </w:r>
      <w:r w:rsidRPr="00C24253">
        <w:rPr>
          <w:rFonts w:cs="Arial"/>
          <w:bCs/>
          <w:sz w:val="20"/>
          <w:szCs w:val="20"/>
        </w:rPr>
        <w:t>113. Kontroly probíhaly v jednotlivých zpracovatelských blocích, jejichž pořadí bylo předem definováno</w:t>
      </w:r>
      <w:r w:rsidRPr="00C24253">
        <w:rPr>
          <w:rFonts w:cs="Arial"/>
          <w:sz w:val="20"/>
          <w:szCs w:val="20"/>
        </w:rPr>
        <w:t>. Proces kontrol byl plně automatický; všechny kontroly byly s autokorekcí.</w:t>
      </w:r>
    </w:p>
    <w:p w:rsidR="00096A9F" w:rsidRPr="00C24253" w:rsidRDefault="00096A9F" w:rsidP="00096A9F">
      <w:pPr>
        <w:spacing w:after="120"/>
        <w:rPr>
          <w:rFonts w:cs="Arial"/>
          <w:sz w:val="20"/>
          <w:szCs w:val="20"/>
        </w:rPr>
      </w:pPr>
      <w:r w:rsidRPr="00C24253">
        <w:rPr>
          <w:rFonts w:cs="Arial"/>
          <w:sz w:val="20"/>
          <w:szCs w:val="20"/>
        </w:rPr>
        <w:t xml:space="preserve">Proces deduplikace a prioritizace řešil duplicity osob a domů a vyhodnocoval vybrané vstupní údaje ve vztahu k jiným datovým zdrojům (RSO, ISEO). </w:t>
      </w:r>
      <w:r w:rsidRPr="00C24253">
        <w:rPr>
          <w:rFonts w:cs="Arial"/>
          <w:bCs/>
          <w:sz w:val="20"/>
          <w:szCs w:val="20"/>
        </w:rPr>
        <w:t xml:space="preserve">V případě více zdrojů vstupních dat a rozdílných údajů postupoval do dalšího zpracování údaj s nejvyšší prioritou. K datům za osoby se z administrativního zdroje připojily další údaje - </w:t>
      </w:r>
      <w:r w:rsidRPr="00C24253">
        <w:rPr>
          <w:rFonts w:cs="Arial"/>
          <w:sz w:val="20"/>
          <w:szCs w:val="20"/>
        </w:rPr>
        <w:t>adresa trvalého bydliště, druh pobytu a rok přistěhování do země</w:t>
      </w:r>
      <w:r w:rsidRPr="00C24253">
        <w:rPr>
          <w:rFonts w:cs="Arial"/>
          <w:bCs/>
          <w:sz w:val="20"/>
          <w:szCs w:val="20"/>
        </w:rPr>
        <w:t>, které nebyly na sčítacích formulářích zjišťovány, ale pro další zpracování se využívaly.</w:t>
      </w:r>
    </w:p>
    <w:p w:rsidR="00096A9F" w:rsidRPr="00C24253" w:rsidRDefault="00096A9F" w:rsidP="00096A9F">
      <w:pPr>
        <w:spacing w:after="120"/>
        <w:rPr>
          <w:rFonts w:cs="Arial"/>
          <w:sz w:val="20"/>
          <w:szCs w:val="20"/>
        </w:rPr>
      </w:pPr>
      <w:r w:rsidRPr="00C24253">
        <w:rPr>
          <w:rFonts w:cs="Arial"/>
          <w:sz w:val="20"/>
          <w:szCs w:val="20"/>
        </w:rPr>
        <w:t>Pro odvozování místa obvyklého pobytu byl v souladu s mezinárodní metodikou připraven speciální algoritmus, který analyzoval zjištěné adresy bydliště v rozhodný okamžik (tj. faktické bydliště), místa sečtení, bydliště rok před sčítáním a trvalé bydliště získané z administrativního zdroje. Výsledkem byla odvozená konkrétní adresa místa obvyklého pobytu až do úrovně domu, příp. bytu (pokud byla osoba sečtena v místě svého obvyklého pobytu). U 131 601 sečtených osob bylo vyhodnoceno, že obvyklý pobyt na území našeho státu nemají.</w:t>
      </w:r>
    </w:p>
    <w:p w:rsidR="00096A9F" w:rsidRPr="00C24253" w:rsidRDefault="00096A9F" w:rsidP="00096A9F">
      <w:pPr>
        <w:spacing w:after="120"/>
        <w:rPr>
          <w:rFonts w:cs="Arial"/>
          <w:sz w:val="20"/>
          <w:szCs w:val="20"/>
        </w:rPr>
      </w:pPr>
      <w:r w:rsidRPr="00C24253">
        <w:rPr>
          <w:rFonts w:cs="Arial"/>
          <w:sz w:val="20"/>
          <w:szCs w:val="20"/>
        </w:rPr>
        <w:t>Přesná adresa místa obvyklého pobytu byla vstupem a základní podmínkou provedení tzv. datové burzy. V této části zpracování se propojovaly datové věty osob, bytů a domů. K tomu bylo potřeba na základě adresy obvyklého pobytu zařadit osoby do odpovídajícího domu a bytu. Proces zařazování byl automatický podle předem stanovených kriterií a probíhal opakovaně. Pro opakování byly manuálně měněny parametry zařazování. Po zařazení všech osob proběhla kontrola duplicit bytových vět</w:t>
      </w:r>
      <w:r w:rsidR="00D423B3">
        <w:rPr>
          <w:rFonts w:cs="Arial"/>
          <w:sz w:val="20"/>
          <w:szCs w:val="20"/>
        </w:rPr>
        <w:t>, kompletace datového souboru a </w:t>
      </w:r>
      <w:r w:rsidRPr="00C24253">
        <w:rPr>
          <w:rFonts w:cs="Arial"/>
          <w:sz w:val="20"/>
          <w:szCs w:val="20"/>
        </w:rPr>
        <w:t>kontroly vstupních údajů potřebných pro odvozování domácností.</w:t>
      </w:r>
    </w:p>
    <w:p w:rsidR="00096A9F" w:rsidRPr="00C24253" w:rsidRDefault="00096A9F" w:rsidP="00096A9F">
      <w:pPr>
        <w:spacing w:after="120"/>
        <w:rPr>
          <w:rFonts w:cs="Arial"/>
          <w:sz w:val="20"/>
          <w:szCs w:val="20"/>
        </w:rPr>
      </w:pPr>
      <w:r w:rsidRPr="00C24253">
        <w:rPr>
          <w:rFonts w:cs="Arial"/>
          <w:sz w:val="20"/>
          <w:szCs w:val="20"/>
        </w:rPr>
        <w:t>Pro odvozování domácností a výpočet dojížďkových proudů – tedy pro dvě nově vzniklé datové entity – byly připraveny samostatné programy. Odvozování ukazatelů v entitách domů, bytů a osob probíhalo podle definovaných algoritmů odvození hromadně v určeném pořadí jednotlivých dávek. Celkový počet odvozených ukazatelů (vč. domácností) činil 343 ukazatelů.</w:t>
      </w:r>
    </w:p>
    <w:p w:rsidR="00096A9F" w:rsidRPr="00C24253" w:rsidRDefault="00096A9F" w:rsidP="00096A9F">
      <w:pPr>
        <w:pStyle w:val="normalnsodrkami"/>
        <w:tabs>
          <w:tab w:val="clear" w:pos="720"/>
        </w:tabs>
        <w:spacing w:after="120"/>
        <w:ind w:left="0" w:firstLine="0"/>
        <w:rPr>
          <w:rFonts w:cs="Arial"/>
          <w:sz w:val="20"/>
          <w:szCs w:val="20"/>
        </w:rPr>
      </w:pPr>
      <w:r w:rsidRPr="00C24253">
        <w:rPr>
          <w:rFonts w:cs="Arial"/>
          <w:b/>
          <w:sz w:val="20"/>
          <w:szCs w:val="20"/>
        </w:rPr>
        <w:t>Odvození místa obvyklého pobytu</w:t>
      </w:r>
      <w:r w:rsidRPr="00C24253">
        <w:rPr>
          <w:rFonts w:cs="Arial"/>
          <w:sz w:val="20"/>
          <w:szCs w:val="20"/>
        </w:rPr>
        <w:t xml:space="preserve"> – v souladu s mezinárodní metodikou – bylo hlavní metodickou novinkou definitivních výstupů zpracování sčítání 2011. Porovnání obvyklého a trvalého bydliště (adresa místa trvalého pobytu byla doplněna z ISEO) umožnilo analyzovat rozdíly mezi fak</w:t>
      </w:r>
      <w:r w:rsidR="00D423B3">
        <w:rPr>
          <w:rFonts w:cs="Arial"/>
          <w:sz w:val="20"/>
          <w:szCs w:val="20"/>
        </w:rPr>
        <w:t>tickým a evidenčním bydlištěm i </w:t>
      </w:r>
      <w:r w:rsidRPr="00C24253">
        <w:rPr>
          <w:rFonts w:cs="Arial"/>
          <w:sz w:val="20"/>
          <w:szCs w:val="20"/>
        </w:rPr>
        <w:t>v územním detailu. Podle adresy obvyklého bydliště byly konstruovány i domácnosti, počítány dojížďkové proudy, odvozena obydlenost domů a bytů. Obvyklé bydliště bylo základním územním třídícím hlediskem všech definitivních výstupů. Obvyklé bydliště umožnilo samostatně identifikovat i počet bezdomovců, kteří v minulých cenzech byli v rámci zpracování zahrnuti na adresy svých trvalých bydlišť.</w:t>
      </w:r>
    </w:p>
    <w:p w:rsidR="00096A9F" w:rsidRPr="00C24253" w:rsidRDefault="00096A9F" w:rsidP="00096A9F">
      <w:pPr>
        <w:spacing w:after="120"/>
        <w:rPr>
          <w:rFonts w:cs="Arial"/>
          <w:sz w:val="20"/>
          <w:szCs w:val="20"/>
        </w:rPr>
      </w:pPr>
      <w:r w:rsidRPr="00C24253">
        <w:rPr>
          <w:rFonts w:cs="Arial"/>
          <w:sz w:val="20"/>
          <w:szCs w:val="20"/>
        </w:rPr>
        <w:t xml:space="preserve">Způsob zpracování a časová posloupnost jednotlivých fází, které předcházely klíčovému procesu odvození místa obvyklého pobytu, se promítly do netradičního zpracování a zveřejnění výstupů předběžných a definitivních výsledků v odlišné metodice. </w:t>
      </w:r>
    </w:p>
    <w:p w:rsidR="00096A9F" w:rsidRPr="00C24253" w:rsidRDefault="00096A9F" w:rsidP="00096A9F">
      <w:pPr>
        <w:spacing w:after="120"/>
        <w:rPr>
          <w:rFonts w:cs="Arial"/>
          <w:sz w:val="20"/>
          <w:szCs w:val="20"/>
        </w:rPr>
      </w:pPr>
      <w:r w:rsidRPr="00C24253">
        <w:rPr>
          <w:rFonts w:cs="Arial"/>
          <w:b/>
          <w:sz w:val="20"/>
          <w:szCs w:val="20"/>
        </w:rPr>
        <w:t>Předběžné výsledky</w:t>
      </w:r>
      <w:r w:rsidRPr="00C24253">
        <w:rPr>
          <w:rFonts w:cs="Arial"/>
          <w:sz w:val="20"/>
          <w:szCs w:val="20"/>
        </w:rPr>
        <w:t xml:space="preserve"> byly </w:t>
      </w:r>
      <w:r w:rsidR="00F246D1">
        <w:rPr>
          <w:rFonts w:cs="Arial"/>
          <w:sz w:val="20"/>
          <w:szCs w:val="20"/>
        </w:rPr>
        <w:t>-</w:t>
      </w:r>
      <w:r w:rsidRPr="00C24253">
        <w:rPr>
          <w:rFonts w:cs="Arial"/>
          <w:sz w:val="20"/>
          <w:szCs w:val="20"/>
        </w:rPr>
        <w:t xml:space="preserve"> jako první oficiální data sčítání - publikovány v prosinci 2011. Termínu zveřejnění byl přizpůsoben proces jejich zpracování, jejich obsah a zejména metodika. Po re</w:t>
      </w:r>
      <w:r w:rsidR="00D423B3">
        <w:rPr>
          <w:rFonts w:cs="Arial"/>
          <w:sz w:val="20"/>
          <w:szCs w:val="20"/>
        </w:rPr>
        <w:t>alizované deduplikaci a </w:t>
      </w:r>
      <w:r w:rsidRPr="00C24253">
        <w:rPr>
          <w:rFonts w:cs="Arial"/>
          <w:sz w:val="20"/>
          <w:szCs w:val="20"/>
        </w:rPr>
        <w:t>prioritizaci se zpracování rozdělilo na dvě samostatné paralelní větve: zpracování předběžných a zpracování definitivních výsledků. Pro předběžné výsledky byly definovány redukov</w:t>
      </w:r>
      <w:r w:rsidR="00D423B3">
        <w:rPr>
          <w:rFonts w:cs="Arial"/>
          <w:sz w:val="20"/>
          <w:szCs w:val="20"/>
        </w:rPr>
        <w:t>ané soubory logických kontrol a </w:t>
      </w:r>
      <w:r w:rsidRPr="00C24253">
        <w:rPr>
          <w:rFonts w:cs="Arial"/>
          <w:sz w:val="20"/>
          <w:szCs w:val="20"/>
        </w:rPr>
        <w:t>odvozených ukazatelů. V okamžiku zpracování předběžných výsledků nebyly datové věty všech entit propojeny, ani nebylo odvozeno místo obvyklého pobytu. Publikovány proto byly výstupy za domy, byty a osoby, a to bez vzájemné provázanosti. Údaje o osobách byly zpracovány podle adr</w:t>
      </w:r>
      <w:r w:rsidR="00D423B3">
        <w:rPr>
          <w:rFonts w:cs="Arial"/>
          <w:sz w:val="20"/>
          <w:szCs w:val="20"/>
        </w:rPr>
        <w:t>esy trvalého bydliště (tzn. </w:t>
      </w:r>
      <w:r w:rsidRPr="00C24253">
        <w:rPr>
          <w:rFonts w:cs="Arial"/>
          <w:sz w:val="20"/>
          <w:szCs w:val="20"/>
        </w:rPr>
        <w:t xml:space="preserve">za osoby trvale bydlící vč. cizinců s dlouhodobým pobytem, pokud byli evidováni v Informačním systému evidence obyvatel MV), údaje o domech a bytech byly zpracovány v rozsahu vrácených formulářů a informace o obydlenosti domu nebo bytu byly pouze na základě deklarace na sčítacích formulářích. </w:t>
      </w:r>
    </w:p>
    <w:p w:rsidR="00096A9F" w:rsidRPr="00C24253" w:rsidRDefault="00096A9F" w:rsidP="00A87CF3">
      <w:pPr>
        <w:pStyle w:val="normalnsodrkami"/>
        <w:tabs>
          <w:tab w:val="clear" w:pos="720"/>
        </w:tabs>
        <w:spacing w:after="120"/>
        <w:ind w:left="0" w:firstLine="0"/>
        <w:rPr>
          <w:rFonts w:cs="Arial"/>
          <w:sz w:val="20"/>
          <w:szCs w:val="20"/>
        </w:rPr>
      </w:pPr>
      <w:r w:rsidRPr="00C24253">
        <w:rPr>
          <w:rFonts w:cs="Arial"/>
          <w:sz w:val="20"/>
          <w:szCs w:val="20"/>
        </w:rPr>
        <w:t xml:space="preserve">Z věcného hlediska byl charakter předběžných výsledků v roce 2011 zcela jiný než v předchozích cenzech, kdy předběžné výsledky znamenaly prakticky první ne zcela přesná data a po definitivním zpracování byly výsledky korigovány. Sčítání 2011 prezentovalo předběžné výsledky jako svébytné výstupy se samostatnou - od definitivních výsledků odlišnou - metodikou. Srovnání předběžných a definitivních výsledků proto není možné. </w:t>
      </w:r>
    </w:p>
    <w:p w:rsidR="0077322B" w:rsidRPr="00C24253" w:rsidRDefault="00096A9F" w:rsidP="00F246D1">
      <w:pPr>
        <w:pStyle w:val="Odstavecseseznamem"/>
        <w:spacing w:after="120"/>
        <w:ind w:left="0"/>
        <w:jc w:val="both"/>
        <w:rPr>
          <w:sz w:val="20"/>
          <w:szCs w:val="20"/>
        </w:rPr>
      </w:pPr>
      <w:r w:rsidRPr="00C24253">
        <w:rPr>
          <w:sz w:val="20"/>
          <w:szCs w:val="20"/>
        </w:rPr>
        <w:t xml:space="preserve">Definitivní výsledky </w:t>
      </w:r>
      <w:r w:rsidRPr="00C24253">
        <w:rPr>
          <w:b w:val="0"/>
          <w:sz w:val="20"/>
          <w:szCs w:val="20"/>
        </w:rPr>
        <w:t>byly zpracovány již v tradičním rozsahu kombinačních tabulek v různém územním detailu, a to výlučně podle obvyklého pobytu osob, vč. hospodařících domácností společně obvykle bydlících osob, domů a bytů s obvykle bydlícími osobami a dojížďkových proudů z místa obvyklého bydliště do místa zaměstnání nebo školy. Kromě některých dílčích obsahových změn výstupů (viz Metodické vysvětlivky</w:t>
      </w:r>
      <w:r w:rsidR="00F246D1">
        <w:rPr>
          <w:b w:val="0"/>
          <w:sz w:val="20"/>
          <w:szCs w:val="20"/>
        </w:rPr>
        <w:t>)</w:t>
      </w:r>
      <w:r w:rsidRPr="00C24253">
        <w:rPr>
          <w:b w:val="0"/>
          <w:sz w:val="20"/>
          <w:szCs w:val="20"/>
        </w:rPr>
        <w:t xml:space="preserve"> byly pro sčítání 2011 charakteristické zejména rozsáhlejší možnosti prezentace dat.</w:t>
      </w:r>
    </w:p>
    <w:p w:rsidR="00B15E3A" w:rsidRPr="00C24253" w:rsidRDefault="00096A9F" w:rsidP="00A87CF3">
      <w:pPr>
        <w:spacing w:after="120"/>
        <w:rPr>
          <w:rFonts w:cs="Arial"/>
          <w:sz w:val="20"/>
          <w:szCs w:val="20"/>
        </w:rPr>
      </w:pPr>
      <w:r w:rsidRPr="00C24253">
        <w:rPr>
          <w:rFonts w:cs="Arial"/>
          <w:sz w:val="20"/>
          <w:szCs w:val="20"/>
        </w:rPr>
        <w:t xml:space="preserve">Stěžejní formou </w:t>
      </w:r>
      <w:r w:rsidRPr="00C24253">
        <w:rPr>
          <w:rFonts w:cs="Arial"/>
          <w:b/>
          <w:sz w:val="20"/>
          <w:szCs w:val="20"/>
        </w:rPr>
        <w:t>zveřejnění výsledků</w:t>
      </w:r>
      <w:r w:rsidRPr="00C24253">
        <w:rPr>
          <w:rFonts w:cs="Arial"/>
          <w:sz w:val="20"/>
          <w:szCs w:val="20"/>
        </w:rPr>
        <w:t xml:space="preserve"> se stala webová prezentace</w:t>
      </w:r>
      <w:r w:rsidR="005C61B6" w:rsidRPr="00C24253">
        <w:rPr>
          <w:rFonts w:cs="Arial"/>
          <w:sz w:val="20"/>
          <w:szCs w:val="20"/>
        </w:rPr>
        <w:t>, která byla</w:t>
      </w:r>
      <w:r w:rsidRPr="00C24253">
        <w:rPr>
          <w:rFonts w:cs="Arial"/>
          <w:sz w:val="20"/>
          <w:szCs w:val="20"/>
        </w:rPr>
        <w:t xml:space="preserve"> připravena pro nejširší okruh uživatelů a to v české i anglické verzi v rozsahu předdefinovaných výstupů. Základem byla prezentace výsledků uložených do veřejné databáze ČSÚ (VDB). Uživatel mohl volit výběr konkrétní tabulky, konkrétní území nebo si sestavit vlastní tabulku podle připravených scénářů. </w:t>
      </w:r>
    </w:p>
    <w:p w:rsidR="00096A9F" w:rsidRPr="00C24253" w:rsidRDefault="00096A9F" w:rsidP="00A87CF3">
      <w:pPr>
        <w:spacing w:after="120"/>
        <w:rPr>
          <w:rFonts w:cs="Arial"/>
          <w:sz w:val="20"/>
          <w:szCs w:val="20"/>
        </w:rPr>
      </w:pPr>
      <w:r w:rsidRPr="00C24253">
        <w:rPr>
          <w:rFonts w:cs="Arial"/>
          <w:sz w:val="20"/>
          <w:szCs w:val="20"/>
        </w:rPr>
        <w:t>Prezentace ve VDB umožňovala interaktivně zobrazovat řadu dalších metainformací ke každému údaji (např. definici ukazatele, použité číselníky a jejich kódy apod.). Výsledky uživatel mohl ukládat do různých formátů (XLS, XML). VDB zajišťovala rovněž standardní grafické výstupy v rozsahu předdefinovaných výstupů – grafy, mapy, motion-charty, fusion-charty, mashups (využití mapových služeb). Data sčítání byla využita i pro speciální grafické výstupy</w:t>
      </w:r>
      <w:r w:rsidR="00F75E12">
        <w:rPr>
          <w:rFonts w:cs="Arial"/>
          <w:sz w:val="20"/>
          <w:szCs w:val="20"/>
        </w:rPr>
        <w:t>.</w:t>
      </w:r>
    </w:p>
    <w:p w:rsidR="002E4032" w:rsidRPr="00C24253" w:rsidRDefault="00096A9F" w:rsidP="002E4032">
      <w:pPr>
        <w:pStyle w:val="Odstavecseseznamem"/>
        <w:spacing w:after="120"/>
        <w:ind w:left="0"/>
        <w:contextualSpacing w:val="0"/>
        <w:jc w:val="both"/>
        <w:rPr>
          <w:b w:val="0"/>
          <w:sz w:val="20"/>
          <w:szCs w:val="20"/>
        </w:rPr>
      </w:pPr>
      <w:r w:rsidRPr="00C24253">
        <w:rPr>
          <w:b w:val="0"/>
          <w:sz w:val="20"/>
          <w:szCs w:val="20"/>
        </w:rPr>
        <w:t>Vydané publikace s výsledky sčítání byly rovněž součástí  Katalogu produktů ČS</w:t>
      </w:r>
      <w:r w:rsidR="00F75E12">
        <w:rPr>
          <w:b w:val="0"/>
          <w:sz w:val="20"/>
          <w:szCs w:val="20"/>
        </w:rPr>
        <w:t>Ú</w:t>
      </w:r>
      <w:r w:rsidRPr="00C24253">
        <w:rPr>
          <w:b w:val="0"/>
          <w:sz w:val="20"/>
          <w:szCs w:val="20"/>
        </w:rPr>
        <w:t>. Po výběru titulu bylo standardně možné zobrazit jednotlivé části publikace v různých formátech (textové informace i jednotlivé tabulky, metodické poznámky, jednoduché kartogramy).</w:t>
      </w:r>
      <w:r w:rsidR="002E4032" w:rsidRPr="00C24253">
        <w:rPr>
          <w:b w:val="0"/>
          <w:sz w:val="20"/>
          <w:szCs w:val="20"/>
        </w:rPr>
        <w:t xml:space="preserve"> </w:t>
      </w:r>
    </w:p>
    <w:p w:rsidR="002E4032" w:rsidRPr="00C24253" w:rsidRDefault="00096A9F" w:rsidP="002E4032">
      <w:pPr>
        <w:pStyle w:val="Odstavecseseznamem"/>
        <w:spacing w:after="120"/>
        <w:ind w:left="0"/>
        <w:contextualSpacing w:val="0"/>
        <w:jc w:val="both"/>
        <w:rPr>
          <w:b w:val="0"/>
          <w:sz w:val="20"/>
          <w:szCs w:val="20"/>
        </w:rPr>
      </w:pPr>
      <w:r w:rsidRPr="00C24253">
        <w:rPr>
          <w:b w:val="0"/>
          <w:bCs/>
          <w:sz w:val="20"/>
          <w:szCs w:val="20"/>
        </w:rPr>
        <w:t xml:space="preserve">V omezeném rozsahu byly vydány i tištěné publikace. </w:t>
      </w:r>
      <w:r w:rsidRPr="00C24253">
        <w:rPr>
          <w:b w:val="0"/>
          <w:sz w:val="20"/>
          <w:szCs w:val="20"/>
        </w:rPr>
        <w:t xml:space="preserve">Mají zejména dokumentační charakter a byly určeny pro informační služby a odborné útvary ČSÚ, pro knihovny a tradiční odběratele. </w:t>
      </w:r>
    </w:p>
    <w:p w:rsidR="002E4032" w:rsidRPr="00C24253" w:rsidRDefault="00096A9F" w:rsidP="002E4032">
      <w:pPr>
        <w:pStyle w:val="Odstavecseseznamem"/>
        <w:spacing w:after="120"/>
        <w:ind w:left="0"/>
        <w:contextualSpacing w:val="0"/>
        <w:jc w:val="both"/>
        <w:rPr>
          <w:b w:val="0"/>
          <w:sz w:val="20"/>
          <w:szCs w:val="20"/>
        </w:rPr>
      </w:pPr>
      <w:r w:rsidRPr="00C24253">
        <w:rPr>
          <w:b w:val="0"/>
          <w:sz w:val="20"/>
          <w:szCs w:val="20"/>
        </w:rPr>
        <w:t xml:space="preserve">Tištěné publikace měly vždy i elektronickou verzi, která </w:t>
      </w:r>
      <w:r w:rsidR="00A87CF3" w:rsidRPr="00C24253">
        <w:rPr>
          <w:b w:val="0"/>
          <w:sz w:val="20"/>
          <w:szCs w:val="20"/>
        </w:rPr>
        <w:t>je</w:t>
      </w:r>
      <w:r w:rsidRPr="00C24253">
        <w:rPr>
          <w:b w:val="0"/>
          <w:sz w:val="20"/>
          <w:szCs w:val="20"/>
        </w:rPr>
        <w:t xml:space="preserve"> dostupná z webových stránek </w:t>
      </w:r>
      <w:r w:rsidR="00F246D1">
        <w:rPr>
          <w:b w:val="0"/>
          <w:sz w:val="20"/>
          <w:szCs w:val="20"/>
        </w:rPr>
        <w:t>Č</w:t>
      </w:r>
      <w:r w:rsidRPr="00C24253">
        <w:rPr>
          <w:b w:val="0"/>
          <w:sz w:val="20"/>
          <w:szCs w:val="20"/>
        </w:rPr>
        <w:t>SÚ.</w:t>
      </w:r>
      <w:r w:rsidR="002E4032" w:rsidRPr="00C24253">
        <w:rPr>
          <w:b w:val="0"/>
          <w:sz w:val="20"/>
          <w:szCs w:val="20"/>
        </w:rPr>
        <w:t xml:space="preserve"> </w:t>
      </w:r>
      <w:r w:rsidRPr="00C24253">
        <w:rPr>
          <w:b w:val="0"/>
          <w:sz w:val="20"/>
          <w:szCs w:val="20"/>
        </w:rPr>
        <w:t xml:space="preserve">Všechny standardní datové publikace byly připraveny jako kombinace pevných textů (úvod, metodika) a tabulkové části, která byla vygenerována z údajů uložených ve veřejné databázi. </w:t>
      </w:r>
    </w:p>
    <w:p w:rsidR="00096A9F" w:rsidRPr="00C24253" w:rsidRDefault="00096A9F" w:rsidP="002E4032">
      <w:pPr>
        <w:pStyle w:val="Odstavecseseznamem"/>
        <w:spacing w:after="120"/>
        <w:ind w:left="0"/>
        <w:contextualSpacing w:val="0"/>
        <w:jc w:val="both"/>
        <w:rPr>
          <w:b w:val="0"/>
          <w:sz w:val="20"/>
          <w:szCs w:val="20"/>
        </w:rPr>
      </w:pPr>
      <w:r w:rsidRPr="00C24253">
        <w:rPr>
          <w:b w:val="0"/>
          <w:sz w:val="20"/>
          <w:szCs w:val="20"/>
        </w:rPr>
        <w:t xml:space="preserve">Specifickými výstupy byly datové sady a soubory uložené na elektronická média (CD-ROM, DVD), příp. ad-hoc výstupy na zakázku konkrétních uživatelů (výběr mikrodat, speciální propočty a agregace). </w:t>
      </w:r>
    </w:p>
    <w:p w:rsidR="00096A9F" w:rsidRPr="00C24253" w:rsidRDefault="00096A9F" w:rsidP="002E4032">
      <w:pPr>
        <w:pStyle w:val="Odstavecseseznamem"/>
        <w:spacing w:after="120"/>
        <w:ind w:left="0"/>
        <w:contextualSpacing w:val="0"/>
        <w:jc w:val="both"/>
        <w:rPr>
          <w:b w:val="0"/>
          <w:sz w:val="20"/>
          <w:szCs w:val="20"/>
        </w:rPr>
      </w:pPr>
      <w:r w:rsidRPr="00C24253">
        <w:rPr>
          <w:b w:val="0"/>
          <w:sz w:val="20"/>
          <w:szCs w:val="20"/>
        </w:rPr>
        <w:t xml:space="preserve">Pro Eurostat v souladu s Nařízením </w:t>
      </w:r>
      <w:hyperlink r:id="rId8" w:history="1">
        <w:r w:rsidRPr="00C24253">
          <w:rPr>
            <w:rStyle w:val="Hypertextovodkaz"/>
            <w:b w:val="0"/>
            <w:bCs/>
            <w:color w:val="auto"/>
            <w:u w:val="none"/>
          </w:rPr>
          <w:t>Komise (EU) č. 519/2010</w:t>
        </w:r>
      </w:hyperlink>
      <w:r w:rsidRPr="00C24253">
        <w:rPr>
          <w:b w:val="0"/>
          <w:sz w:val="20"/>
          <w:szCs w:val="20"/>
        </w:rPr>
        <w:t xml:space="preserve"> byly zpracovány údaje pro tzv. „hypercubes“. Mezinárodně srovnatelná data v jednotné struktuře za všechny státy EU umožňují zpracovávat metodicky jednotné celounijní přehledy. </w:t>
      </w:r>
    </w:p>
    <w:p w:rsidR="00096A9F" w:rsidRPr="00C24253" w:rsidRDefault="00217BE5" w:rsidP="001F34D8">
      <w:pPr>
        <w:pStyle w:val="Nadpis3"/>
      </w:pPr>
      <w:bookmarkStart w:id="8" w:name="_Toc371588133"/>
      <w:r w:rsidRPr="00C24253">
        <w:t>Hodnocení kvality</w:t>
      </w:r>
      <w:bookmarkEnd w:id="8"/>
    </w:p>
    <w:p w:rsidR="00096A9F" w:rsidRPr="00C24253" w:rsidRDefault="00096A9F" w:rsidP="00B15E3A">
      <w:pPr>
        <w:spacing w:after="120"/>
        <w:rPr>
          <w:sz w:val="20"/>
        </w:rPr>
      </w:pPr>
      <w:r w:rsidRPr="00C24253">
        <w:rPr>
          <w:sz w:val="20"/>
          <w:szCs w:val="20"/>
        </w:rPr>
        <w:t>Výrazné změny nastaly při sčítání 2011 i v hodnocení kvality censu. Této složce byla věnována daleko větší pozornost než v minulosti. Hodnocení kvality sčítání 2011 se zaměřilo na dvě obl</w:t>
      </w:r>
      <w:r w:rsidR="00D423B3">
        <w:rPr>
          <w:sz w:val="20"/>
          <w:szCs w:val="20"/>
        </w:rPr>
        <w:t>asti: kvalitu statistickou (tj. </w:t>
      </w:r>
      <w:r w:rsidRPr="00C24253">
        <w:rPr>
          <w:sz w:val="20"/>
          <w:szCs w:val="20"/>
        </w:rPr>
        <w:t>kvalitu dat) a věcnou (tj. kva</w:t>
      </w:r>
      <w:r w:rsidR="00664139">
        <w:rPr>
          <w:sz w:val="20"/>
          <w:szCs w:val="20"/>
        </w:rPr>
        <w:t xml:space="preserve">litu </w:t>
      </w:r>
      <w:r w:rsidRPr="00C24253">
        <w:rPr>
          <w:sz w:val="20"/>
          <w:szCs w:val="20"/>
        </w:rPr>
        <w:t xml:space="preserve">procesů, které souvisí se získáváním dat). </w:t>
      </w:r>
      <w:r w:rsidRPr="00C24253">
        <w:rPr>
          <w:sz w:val="20"/>
        </w:rPr>
        <w:t xml:space="preserve">Řízení, sledování a vyhodnocování </w:t>
      </w:r>
      <w:r w:rsidRPr="00C24253">
        <w:rPr>
          <w:b/>
          <w:sz w:val="20"/>
        </w:rPr>
        <w:t>věcné kvality</w:t>
      </w:r>
      <w:r w:rsidRPr="00C24253">
        <w:rPr>
          <w:sz w:val="20"/>
        </w:rPr>
        <w:t xml:space="preserve"> bylo založeno na rozsáhlém systému kontrol a auditů. Kontroly se zaměřily na plánování a vyhodnocování projektových aktivit a úkolů a jejich shodu s harmonogramy. Audity zkoumaly i kvalitu provádění jednotlivých úkolů a aktivit. Dalším úkolem auditů bylo odhalovat případná rizika, problémy či systémové nedostatky a navrhovat jejich řešení. Výsledky auditů byly kvantitativně i kvalitativně vyhodnoceny</w:t>
      </w:r>
      <w:r w:rsidR="00F246D1">
        <w:rPr>
          <w:sz w:val="20"/>
        </w:rPr>
        <w:t>.</w:t>
      </w:r>
    </w:p>
    <w:p w:rsidR="004A6C50" w:rsidRPr="00C24253" w:rsidRDefault="00096A9F" w:rsidP="00096A9F">
      <w:pPr>
        <w:spacing w:after="120"/>
        <w:rPr>
          <w:sz w:val="20"/>
        </w:rPr>
      </w:pPr>
      <w:r w:rsidRPr="00C24253">
        <w:rPr>
          <w:sz w:val="20"/>
        </w:rPr>
        <w:t>V průběhu sčítání byly prováděny tři typy auditů: interní audity u dodavatelů, audity procesů a aktivit vedené auditory ČSÚ a mimořádné audity procesů a aktivit vedené auditory ČSÚ a dalšími e</w:t>
      </w:r>
      <w:r w:rsidR="00F246D1">
        <w:rPr>
          <w:sz w:val="20"/>
        </w:rPr>
        <w:t>xterními specialisty. V období</w:t>
      </w:r>
      <w:r w:rsidRPr="00C24253">
        <w:rPr>
          <w:sz w:val="20"/>
        </w:rPr>
        <w:t xml:space="preserve"> 2011 - 2012 bylo provedeno celkem 175 auditů kvality, přitom 14</w:t>
      </w:r>
      <w:r w:rsidR="00D423B3">
        <w:rPr>
          <w:sz w:val="20"/>
        </w:rPr>
        <w:t>4 auditů bylo provedeno během 4 </w:t>
      </w:r>
      <w:r w:rsidRPr="00C24253">
        <w:rPr>
          <w:sz w:val="20"/>
        </w:rPr>
        <w:t>měsíců před a po rozhodném okamžiku</w:t>
      </w:r>
      <w:r w:rsidR="00F75E12">
        <w:rPr>
          <w:sz w:val="20"/>
        </w:rPr>
        <w:t xml:space="preserve"> </w:t>
      </w:r>
      <w:r w:rsidR="00F75E12" w:rsidRPr="00C24253">
        <w:rPr>
          <w:sz w:val="20"/>
        </w:rPr>
        <w:t>(únor – květen 2011)</w:t>
      </w:r>
      <w:r w:rsidRPr="00C24253">
        <w:rPr>
          <w:sz w:val="20"/>
        </w:rPr>
        <w:t xml:space="preserve">. </w:t>
      </w:r>
    </w:p>
    <w:p w:rsidR="00096A9F" w:rsidRPr="00C24253" w:rsidRDefault="00096A9F" w:rsidP="00096A9F">
      <w:pPr>
        <w:spacing w:after="120"/>
        <w:rPr>
          <w:sz w:val="20"/>
        </w:rPr>
      </w:pPr>
      <w:r w:rsidRPr="00C24253">
        <w:rPr>
          <w:sz w:val="20"/>
        </w:rPr>
        <w:t>Audity prokázaly, že nejlépe fungovala pracoviště ČSÚ, na kter</w:t>
      </w:r>
      <w:r w:rsidR="00F246D1">
        <w:rPr>
          <w:sz w:val="20"/>
        </w:rPr>
        <w:t>á</w:t>
      </w:r>
      <w:r w:rsidRPr="00C24253">
        <w:rPr>
          <w:sz w:val="20"/>
        </w:rPr>
        <w:t xml:space="preserve"> však byly částečně přenášeny činnosti dodavatele terénních prací (např. zodpovídání dotazů týkajících se distribuce a vyplňování sčítacích formulářů, distribuce formulářů). Audity u České pošty, která zajišťovala terénní práce, prokázaly problémy především s kapacitou pracovníků call centra a s doručováním sčítacích formulářů v avizovaných termínech ve velkých městech.</w:t>
      </w:r>
      <w:r w:rsidRPr="00C24253" w:rsidDel="00DC2EDD">
        <w:rPr>
          <w:sz w:val="20"/>
        </w:rPr>
        <w:t xml:space="preserve"> </w:t>
      </w:r>
    </w:p>
    <w:p w:rsidR="00096A9F" w:rsidRPr="00C24253" w:rsidRDefault="00096A9F" w:rsidP="00096A9F">
      <w:pPr>
        <w:spacing w:after="120"/>
        <w:rPr>
          <w:sz w:val="20"/>
        </w:rPr>
      </w:pPr>
      <w:r w:rsidRPr="00C24253">
        <w:rPr>
          <w:b/>
          <w:sz w:val="20"/>
          <w:szCs w:val="20"/>
        </w:rPr>
        <w:t>Statistická kvalita</w:t>
      </w:r>
      <w:r w:rsidRPr="00C24253">
        <w:rPr>
          <w:sz w:val="20"/>
          <w:szCs w:val="20"/>
        </w:rPr>
        <w:t xml:space="preserve"> (resp. kvalita činností přímo souvisejících se sběrem a zpracováním dat a kvalita dat samotných) byla hodnocena pomocí tzv. indikátorů kvality. Ty využívaly zaznamenané informace o životním cyklu sčítacích formulářů a později datových vět, a pomocí matematických a statistických postupů znovu skládaly obraz sčítání. </w:t>
      </w:r>
      <w:r w:rsidRPr="00C24253">
        <w:rPr>
          <w:sz w:val="20"/>
        </w:rPr>
        <w:t xml:space="preserve">„Životní cyklus“ sčítacích formulářů a jejich záznamů byl rozdělen do šesti fází: tisk </w:t>
      </w:r>
      <w:r w:rsidR="00D57AF7" w:rsidRPr="00C24253">
        <w:rPr>
          <w:sz w:val="20"/>
        </w:rPr>
        <w:t>sčítacích formulářů</w:t>
      </w:r>
      <w:r w:rsidRPr="00C24253">
        <w:rPr>
          <w:sz w:val="20"/>
        </w:rPr>
        <w:t xml:space="preserve">, </w:t>
      </w:r>
      <w:r w:rsidR="00D57AF7" w:rsidRPr="00C24253">
        <w:rPr>
          <w:sz w:val="20"/>
        </w:rPr>
        <w:t xml:space="preserve">jejich </w:t>
      </w:r>
      <w:r w:rsidRPr="00C24253">
        <w:rPr>
          <w:sz w:val="20"/>
        </w:rPr>
        <w:t>distribuce</w:t>
      </w:r>
      <w:r w:rsidR="00D57AF7" w:rsidRPr="00C24253">
        <w:rPr>
          <w:sz w:val="20"/>
        </w:rPr>
        <w:t>, sběr</w:t>
      </w:r>
      <w:r w:rsidRPr="00C24253">
        <w:rPr>
          <w:sz w:val="20"/>
        </w:rPr>
        <w:t xml:space="preserve">, pořízení záznamu </w:t>
      </w:r>
      <w:r w:rsidR="00D57AF7" w:rsidRPr="00C24253">
        <w:rPr>
          <w:sz w:val="20"/>
        </w:rPr>
        <w:t>sčítacích formulářů</w:t>
      </w:r>
      <w:r w:rsidRPr="00C24253">
        <w:rPr>
          <w:sz w:val="20"/>
        </w:rPr>
        <w:t xml:space="preserve">, zpracování záznamu, statistické zpracování. </w:t>
      </w:r>
    </w:p>
    <w:p w:rsidR="00096A9F" w:rsidRPr="00C24253" w:rsidRDefault="00096A9F" w:rsidP="00664139">
      <w:pPr>
        <w:spacing w:after="240"/>
        <w:rPr>
          <w:sz w:val="20"/>
        </w:rPr>
      </w:pPr>
      <w:r w:rsidRPr="00C24253">
        <w:rPr>
          <w:b/>
          <w:sz w:val="20"/>
        </w:rPr>
        <w:t>Indikátory kvality</w:t>
      </w:r>
      <w:r w:rsidRPr="00C24253">
        <w:rPr>
          <w:sz w:val="20"/>
        </w:rPr>
        <w:t xml:space="preserve"> byly vypočteny na základě reportů a výstupů dalších aplikací zaznamenávajících fáze životního cyklu jednotlivých </w:t>
      </w:r>
      <w:r w:rsidR="00D57AF7" w:rsidRPr="00C24253">
        <w:rPr>
          <w:sz w:val="20"/>
        </w:rPr>
        <w:t>sčítacích tiskopisů</w:t>
      </w:r>
      <w:r w:rsidRPr="00C24253">
        <w:rPr>
          <w:sz w:val="20"/>
        </w:rPr>
        <w:t xml:space="preserve"> a na základě datových záznamů. Indikátory jsou k dispozici pro jednotlivé skupiny sčítacích formulářů – sčítací list osob (SLO), bytový list (BL), domovní list (DL) a pro jednotlivé skupiny respondentů či objektů tříděných podle faktorů, jimiž jsou demografické charakteristiky respondentů – pohlaví, věk, rodinný stav, geografické charakteristiky – místo pobytu, velikost obce pobytu, socioekonomické charakteristiky – vzdělání, ekonomická aktivita, logistické</w:t>
      </w:r>
      <w:r w:rsidR="00D423B3">
        <w:rPr>
          <w:sz w:val="20"/>
        </w:rPr>
        <w:t xml:space="preserve"> informace – kanál distribuce a </w:t>
      </w:r>
      <w:r w:rsidRPr="00C24253">
        <w:rPr>
          <w:sz w:val="20"/>
        </w:rPr>
        <w:t xml:space="preserve">sběru </w:t>
      </w:r>
      <w:r w:rsidR="00D57AF7" w:rsidRPr="00C24253">
        <w:rPr>
          <w:sz w:val="20"/>
        </w:rPr>
        <w:t>sčítacích formulářů</w:t>
      </w:r>
      <w:r w:rsidRPr="00C24253">
        <w:rPr>
          <w:sz w:val="20"/>
        </w:rPr>
        <w:t>, místo distribuce. Výsledky jednotlivých indikátorů kvality musí být vyhodnocovány v kontextu všech okolností. Znalost průběhu jednotlivých fází projektu (včetně znalostí získaných prostřednictvím indikátorů kvality) může pomoci při plánování příštích sčítání.</w:t>
      </w:r>
      <w:r w:rsidRPr="00C24253">
        <w:rPr>
          <w:rFonts w:cs="Arial"/>
          <w:sz w:val="20"/>
          <w:szCs w:val="20"/>
        </w:rPr>
        <w:t xml:space="preserve"> Celkem bylo navrženo 53 indikátorů kvality.</w:t>
      </w:r>
    </w:p>
    <w:p w:rsidR="00096A9F" w:rsidRPr="00C24253" w:rsidRDefault="00096A9F" w:rsidP="00163E5B">
      <w:pPr>
        <w:spacing w:after="120"/>
        <w:rPr>
          <w:b/>
          <w:sz w:val="20"/>
          <w:szCs w:val="20"/>
        </w:rPr>
      </w:pPr>
      <w:r w:rsidRPr="00C24253">
        <w:rPr>
          <w:b/>
          <w:sz w:val="20"/>
          <w:szCs w:val="20"/>
        </w:rPr>
        <w:t>Výsledky vybraných indikátorů kvality</w:t>
      </w:r>
    </w:p>
    <w:p w:rsidR="00096A9F" w:rsidRPr="00C24253" w:rsidRDefault="00096A9F" w:rsidP="002E4032">
      <w:pPr>
        <w:spacing w:after="120"/>
        <w:rPr>
          <w:rFonts w:cs="Arial"/>
          <w:sz w:val="20"/>
          <w:szCs w:val="20"/>
        </w:rPr>
      </w:pPr>
      <w:r w:rsidRPr="00C24253">
        <w:rPr>
          <w:rFonts w:cs="Arial"/>
          <w:sz w:val="20"/>
          <w:szCs w:val="20"/>
        </w:rPr>
        <w:t>Výsledky indikátorů prokázaly dobrou kvalitu zpracování i samotných dat. Největší vliv na kvalitu dat měly faktory vzdělání a věk respondentů, dále pak místo distribuce sčítacích formulářů a kanál jejich sběru.</w:t>
      </w:r>
    </w:p>
    <w:p w:rsidR="00096A9F" w:rsidRPr="00C24253" w:rsidRDefault="00096A9F" w:rsidP="00B15E3A">
      <w:pPr>
        <w:pStyle w:val="odrkybezmezer"/>
        <w:spacing w:after="120"/>
      </w:pPr>
      <w:r w:rsidRPr="00C24253">
        <w:rPr>
          <w:b/>
        </w:rPr>
        <w:t>Indikátor TS – doba doručení</w:t>
      </w:r>
      <w:r w:rsidRPr="00C24253">
        <w:t xml:space="preserve"> sčítacího formuláře povinné osobě vypovídá o tom, jak dlouho trvalo sčítacím komisařům doručení formulářů respondentům. V ideálním případě by měla hodnota indikátoru být nulová, neboť to by znamenalo, že sčítací komisaři distribuovali formulář ve stejný den, kdy si ho pro dané respondenty vyzvedli. Na vyšší hodnoty měly vliv jak nepřesné plánování distribuce (komisaři nestihli obejít plánovaná místa), tak nepřítomnost respondentů v daný okamžik. </w:t>
      </w:r>
    </w:p>
    <w:p w:rsidR="00664139" w:rsidRDefault="00096A9F" w:rsidP="00B15E3A">
      <w:pPr>
        <w:spacing w:after="120"/>
        <w:ind w:left="357"/>
        <w:rPr>
          <w:sz w:val="20"/>
        </w:rPr>
      </w:pPr>
      <w:r w:rsidRPr="00C24253">
        <w:rPr>
          <w:sz w:val="20"/>
        </w:rPr>
        <w:t>Distribuce formulářů probíhala od 7.</w:t>
      </w:r>
      <w:r w:rsidR="00C909D5" w:rsidRPr="00C24253">
        <w:rPr>
          <w:sz w:val="20"/>
        </w:rPr>
        <w:t xml:space="preserve"> </w:t>
      </w:r>
      <w:r w:rsidRPr="00C24253">
        <w:rPr>
          <w:sz w:val="20"/>
        </w:rPr>
        <w:t xml:space="preserve">3. </w:t>
      </w:r>
      <w:r w:rsidR="00C909D5" w:rsidRPr="00C24253">
        <w:rPr>
          <w:sz w:val="20"/>
        </w:rPr>
        <w:t xml:space="preserve">2011 </w:t>
      </w:r>
      <w:r w:rsidRPr="00C24253">
        <w:rPr>
          <w:sz w:val="20"/>
        </w:rPr>
        <w:t>do 25.</w:t>
      </w:r>
      <w:r w:rsidR="00C909D5" w:rsidRPr="00C24253">
        <w:rPr>
          <w:sz w:val="20"/>
        </w:rPr>
        <w:t xml:space="preserve"> </w:t>
      </w:r>
      <w:r w:rsidRPr="00C24253">
        <w:rPr>
          <w:sz w:val="20"/>
        </w:rPr>
        <w:t>3.</w:t>
      </w:r>
      <w:r w:rsidR="00C909D5" w:rsidRPr="00C24253">
        <w:rPr>
          <w:sz w:val="20"/>
        </w:rPr>
        <w:t xml:space="preserve"> </w:t>
      </w:r>
      <w:r w:rsidRPr="00C24253">
        <w:rPr>
          <w:sz w:val="20"/>
        </w:rPr>
        <w:t xml:space="preserve">2011, část předvyplněných SLO (zhruba 9 tis.) byla respondentům mimořádně doručena až po rozhodném okamžiku. Většina předvyplněných SLO byla distribuována respondentům ve stejný den, kdy si je komisaři poprvé převzali (91,3 %). U 5,7 % formulářů trvala distribuce 1 – 7 dní, u 2,8 % formulářů trvala 8 – 15 dní a pouze u 0,2 % formulářů trvala déle. </w:t>
      </w:r>
    </w:p>
    <w:p w:rsidR="00096A9F" w:rsidRPr="00C24253" w:rsidRDefault="00096A9F" w:rsidP="00B15E3A">
      <w:pPr>
        <w:spacing w:after="120"/>
        <w:ind w:left="357"/>
        <w:rPr>
          <w:sz w:val="20"/>
        </w:rPr>
      </w:pPr>
      <w:r w:rsidRPr="00C24253">
        <w:rPr>
          <w:sz w:val="20"/>
        </w:rPr>
        <w:t>Nejdéle trvala distribuce formulářů v Praze (ve většině případů více než 1 den), kde bylo zřejmě výrazně obtížnější konkrétní osobu zastihnout a správně naplánovat distribuci. Naopak nejrychlejší distribuce byla zaznamenána v kraji Vysočina.</w:t>
      </w:r>
    </w:p>
    <w:p w:rsidR="00096A9F" w:rsidRPr="00C24253" w:rsidRDefault="00096A9F" w:rsidP="00664139">
      <w:pPr>
        <w:pStyle w:val="odrkybezmezer"/>
        <w:spacing w:after="360"/>
      </w:pPr>
      <w:r w:rsidRPr="00C24253">
        <w:rPr>
          <w:b/>
        </w:rPr>
        <w:t xml:space="preserve">Indikátor TR – doba návratu </w:t>
      </w:r>
      <w:r w:rsidR="00C909D5" w:rsidRPr="00C24253">
        <w:rPr>
          <w:b/>
        </w:rPr>
        <w:t xml:space="preserve">sčítacích formulářů </w:t>
      </w:r>
      <w:r w:rsidRPr="00C24253">
        <w:t>vyjadřuje, jak dlouho trval návrat SF od rozhodného okamžiku sčítání. Návratem se rozumí datum evidence formuláře jako sebraného v logistických systémech. Indikátor se vyhodnocoval pouze pro kanály sběru sčítací komisař (SK) a elektronický sběr, protože formuláře sebrané prostřednictvím P. O. BOXu čekaly na pracovišti P. O. BOXu, než byly načten</w:t>
      </w:r>
      <w:r w:rsidR="00F75E12">
        <w:rPr>
          <w:lang w:val="en-US"/>
        </w:rPr>
        <w:t>y</w:t>
      </w:r>
      <w:r w:rsidRPr="00C24253">
        <w:t xml:space="preserve"> do logistických systémů. Doba návratu by se tím prodlužovala, přestože formulář byl již respondentem skutečně navrácen. Sběr vyplněných SF probíhal od 26.</w:t>
      </w:r>
      <w:r w:rsidR="00965C4E" w:rsidRPr="00C24253">
        <w:t xml:space="preserve"> </w:t>
      </w:r>
      <w:r w:rsidRPr="00C24253">
        <w:t>3. do 19.</w:t>
      </w:r>
      <w:r w:rsidR="00965C4E" w:rsidRPr="00C24253">
        <w:t xml:space="preserve"> </w:t>
      </w:r>
      <w:r w:rsidRPr="00C24253">
        <w:t>4.</w:t>
      </w:r>
      <w:r w:rsidR="00965C4E" w:rsidRPr="00C24253">
        <w:t xml:space="preserve"> </w:t>
      </w:r>
      <w:r w:rsidRPr="00C24253">
        <w:t>201</w:t>
      </w:r>
      <w:r w:rsidR="00D423B3">
        <w:t>1, malá část vyplněných SF (9,6 </w:t>
      </w:r>
      <w:r w:rsidRPr="00C24253">
        <w:t xml:space="preserve">tis.) však byla odevzdána již před rozhodným okamžikem. </w:t>
      </w:r>
    </w:p>
    <w:p w:rsidR="00664139" w:rsidRDefault="00F13D2E" w:rsidP="00664139">
      <w:pPr>
        <w:ind w:left="1418" w:hanging="284"/>
        <w:rPr>
          <w:b/>
          <w:sz w:val="20"/>
          <w:szCs w:val="20"/>
        </w:rPr>
      </w:pPr>
      <w:r w:rsidRPr="00C24253">
        <w:rPr>
          <w:b/>
          <w:sz w:val="20"/>
          <w:szCs w:val="20"/>
        </w:rPr>
        <w:t>Indikátor TR - d</w:t>
      </w:r>
      <w:r w:rsidR="002E2B31" w:rsidRPr="00C24253">
        <w:rPr>
          <w:b/>
          <w:sz w:val="20"/>
          <w:szCs w:val="20"/>
        </w:rPr>
        <w:t>oba návratu sčítacích formulářů podle ka</w:t>
      </w:r>
      <w:r w:rsidR="00096A9F" w:rsidRPr="00C24253">
        <w:rPr>
          <w:b/>
          <w:sz w:val="20"/>
          <w:szCs w:val="20"/>
        </w:rPr>
        <w:t xml:space="preserve">nálu sběru </w:t>
      </w:r>
    </w:p>
    <w:p w:rsidR="00096A9F" w:rsidRPr="00C24253" w:rsidRDefault="00664139" w:rsidP="004A6C50">
      <w:pPr>
        <w:spacing w:after="120"/>
        <w:ind w:left="1418" w:hanging="284"/>
        <w:rPr>
          <w:b/>
          <w:bCs/>
          <w:sz w:val="20"/>
          <w:szCs w:val="20"/>
        </w:rPr>
      </w:pPr>
      <w:r>
        <w:rPr>
          <w:b/>
          <w:sz w:val="20"/>
          <w:szCs w:val="20"/>
        </w:rPr>
        <w:t>(</w:t>
      </w:r>
      <w:r w:rsidR="00096A9F" w:rsidRPr="00C24253">
        <w:rPr>
          <w:b/>
          <w:sz w:val="20"/>
          <w:szCs w:val="20"/>
        </w:rPr>
        <w:t>ve dnech</w:t>
      </w:r>
      <w:r w:rsidR="00096A9F" w:rsidRPr="00C24253">
        <w:rPr>
          <w:b/>
          <w:bCs/>
          <w:sz w:val="20"/>
          <w:szCs w:val="20"/>
        </w:rPr>
        <w:t>)</w:t>
      </w:r>
    </w:p>
    <w:tbl>
      <w:tblPr>
        <w:tblW w:w="7522" w:type="dxa"/>
        <w:jc w:val="center"/>
        <w:tblLayout w:type="fixed"/>
        <w:tblCellMar>
          <w:left w:w="70" w:type="dxa"/>
          <w:right w:w="70" w:type="dxa"/>
        </w:tblCellMar>
        <w:tblLook w:val="04A0"/>
      </w:tblPr>
      <w:tblGrid>
        <w:gridCol w:w="2567"/>
        <w:gridCol w:w="1238"/>
        <w:gridCol w:w="1239"/>
        <w:gridCol w:w="1239"/>
        <w:gridCol w:w="1239"/>
      </w:tblGrid>
      <w:tr w:rsidR="00163E5B" w:rsidRPr="00C24253" w:rsidTr="0075311A">
        <w:trPr>
          <w:trHeight w:val="624"/>
          <w:jc w:val="center"/>
        </w:trPr>
        <w:tc>
          <w:tcPr>
            <w:tcW w:w="2567" w:type="dxa"/>
            <w:vMerge w:val="restart"/>
            <w:tcBorders>
              <w:top w:val="single" w:sz="4" w:space="0" w:color="auto"/>
              <w:left w:val="single" w:sz="4" w:space="0" w:color="auto"/>
              <w:right w:val="single" w:sz="4" w:space="0" w:color="auto"/>
            </w:tcBorders>
            <w:shd w:val="clear" w:color="auto" w:fill="auto"/>
            <w:noWrap/>
            <w:vAlign w:val="center"/>
            <w:hideMark/>
          </w:tcPr>
          <w:p w:rsidR="00163E5B" w:rsidRPr="00C24253" w:rsidRDefault="00163E5B" w:rsidP="00163E5B">
            <w:pPr>
              <w:rPr>
                <w:rFonts w:cs="Arial"/>
                <w:sz w:val="16"/>
                <w:szCs w:val="16"/>
              </w:rPr>
            </w:pPr>
            <w:r w:rsidRPr="00C24253">
              <w:rPr>
                <w:rFonts w:cs="Arial"/>
                <w:sz w:val="16"/>
                <w:szCs w:val="16"/>
              </w:rPr>
              <w:t>Kanál sběru</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163E5B" w:rsidRPr="00C24253" w:rsidRDefault="00163E5B" w:rsidP="00163E5B">
            <w:pPr>
              <w:jc w:val="center"/>
              <w:rPr>
                <w:rFonts w:cs="Arial"/>
                <w:sz w:val="16"/>
                <w:szCs w:val="16"/>
              </w:rPr>
            </w:pPr>
            <w:r w:rsidRPr="00C24253">
              <w:rPr>
                <w:rFonts w:cs="Arial"/>
                <w:sz w:val="16"/>
                <w:szCs w:val="16"/>
              </w:rPr>
              <w:t>Všechny typy sčítacích formulářů</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163E5B" w:rsidRPr="00C24253" w:rsidRDefault="00163E5B" w:rsidP="00163E5B">
            <w:pPr>
              <w:jc w:val="center"/>
              <w:rPr>
                <w:rFonts w:cs="Arial"/>
                <w:sz w:val="16"/>
                <w:szCs w:val="16"/>
              </w:rPr>
            </w:pPr>
            <w:r w:rsidRPr="00C24253">
              <w:rPr>
                <w:rFonts w:cs="Arial"/>
                <w:sz w:val="16"/>
                <w:szCs w:val="16"/>
              </w:rPr>
              <w:t>Sčítací list osob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163E5B" w:rsidRPr="00C24253" w:rsidRDefault="00163E5B" w:rsidP="00163E5B">
            <w:pPr>
              <w:jc w:val="center"/>
              <w:rPr>
                <w:rFonts w:cs="Arial"/>
                <w:sz w:val="16"/>
                <w:szCs w:val="16"/>
              </w:rPr>
            </w:pPr>
            <w:r w:rsidRPr="00C24253">
              <w:rPr>
                <w:rFonts w:cs="Arial"/>
                <w:sz w:val="16"/>
                <w:szCs w:val="16"/>
              </w:rPr>
              <w:t>Bytový list</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163E5B" w:rsidRPr="00C24253" w:rsidRDefault="00163E5B" w:rsidP="00163E5B">
            <w:pPr>
              <w:jc w:val="center"/>
              <w:rPr>
                <w:rFonts w:cs="Arial"/>
                <w:sz w:val="16"/>
                <w:szCs w:val="16"/>
              </w:rPr>
            </w:pPr>
            <w:r w:rsidRPr="00C24253">
              <w:rPr>
                <w:rFonts w:cs="Arial"/>
                <w:sz w:val="16"/>
                <w:szCs w:val="16"/>
              </w:rPr>
              <w:t>Domovní list</w:t>
            </w:r>
          </w:p>
        </w:tc>
      </w:tr>
      <w:tr w:rsidR="00163E5B" w:rsidRPr="00C24253" w:rsidTr="0075311A">
        <w:trPr>
          <w:trHeight w:val="284"/>
          <w:jc w:val="center"/>
        </w:trPr>
        <w:tc>
          <w:tcPr>
            <w:tcW w:w="2567" w:type="dxa"/>
            <w:vMerge/>
            <w:tcBorders>
              <w:left w:val="single" w:sz="4" w:space="0" w:color="auto"/>
              <w:bottom w:val="single" w:sz="4" w:space="0" w:color="auto"/>
              <w:right w:val="single" w:sz="4" w:space="0" w:color="auto"/>
            </w:tcBorders>
            <w:shd w:val="clear" w:color="auto" w:fill="auto"/>
            <w:noWrap/>
            <w:vAlign w:val="center"/>
            <w:hideMark/>
          </w:tcPr>
          <w:p w:rsidR="00163E5B" w:rsidRPr="00C24253" w:rsidRDefault="00163E5B" w:rsidP="00163E5B">
            <w:pPr>
              <w:jc w:val="center"/>
              <w:rPr>
                <w:rFonts w:cs="Arial"/>
                <w:sz w:val="16"/>
                <w:szCs w:val="16"/>
              </w:rPr>
            </w:pPr>
          </w:p>
        </w:tc>
        <w:tc>
          <w:tcPr>
            <w:tcW w:w="49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E5B" w:rsidRPr="00C24253" w:rsidRDefault="00163E5B" w:rsidP="00954615">
            <w:pPr>
              <w:jc w:val="center"/>
              <w:rPr>
                <w:rFonts w:cs="Arial"/>
                <w:sz w:val="16"/>
                <w:szCs w:val="16"/>
              </w:rPr>
            </w:pPr>
            <w:r w:rsidRPr="00C24253">
              <w:rPr>
                <w:rFonts w:cs="Arial"/>
                <w:sz w:val="16"/>
                <w:szCs w:val="16"/>
              </w:rPr>
              <w:t xml:space="preserve">počet dnů </w:t>
            </w:r>
          </w:p>
        </w:tc>
      </w:tr>
      <w:tr w:rsidR="00965C4E" w:rsidRPr="00C24253" w:rsidTr="008761B5">
        <w:trPr>
          <w:trHeight w:val="283"/>
          <w:jc w:val="center"/>
        </w:trPr>
        <w:tc>
          <w:tcPr>
            <w:tcW w:w="2567" w:type="dxa"/>
            <w:tcBorders>
              <w:top w:val="single" w:sz="4" w:space="0" w:color="auto"/>
              <w:left w:val="single" w:sz="4" w:space="0" w:color="auto"/>
              <w:bottom w:val="nil"/>
              <w:right w:val="nil"/>
            </w:tcBorders>
            <w:shd w:val="clear" w:color="auto" w:fill="auto"/>
            <w:noWrap/>
            <w:vAlign w:val="center"/>
            <w:hideMark/>
          </w:tcPr>
          <w:p w:rsidR="00965C4E" w:rsidRPr="00C24253" w:rsidRDefault="00163E5B" w:rsidP="00163E5B">
            <w:pPr>
              <w:jc w:val="left"/>
              <w:rPr>
                <w:rFonts w:cs="Arial"/>
                <w:sz w:val="16"/>
                <w:szCs w:val="16"/>
              </w:rPr>
            </w:pPr>
            <w:r w:rsidRPr="00C24253">
              <w:rPr>
                <w:rFonts w:cs="Arial"/>
                <w:sz w:val="16"/>
                <w:szCs w:val="16"/>
              </w:rPr>
              <w:t>Sčítací komisaři</w:t>
            </w:r>
          </w:p>
        </w:tc>
        <w:tc>
          <w:tcPr>
            <w:tcW w:w="1238" w:type="dxa"/>
            <w:tcBorders>
              <w:top w:val="single" w:sz="4" w:space="0" w:color="auto"/>
              <w:left w:val="single" w:sz="4" w:space="0" w:color="auto"/>
              <w:bottom w:val="nil"/>
              <w:right w:val="nil"/>
            </w:tcBorders>
            <w:shd w:val="clear" w:color="auto" w:fill="auto"/>
            <w:vAlign w:val="center"/>
            <w:hideMark/>
          </w:tcPr>
          <w:p w:rsidR="00965C4E" w:rsidRPr="00C24253" w:rsidRDefault="00965C4E" w:rsidP="00163E5B">
            <w:pPr>
              <w:jc w:val="center"/>
              <w:rPr>
                <w:rFonts w:cs="Arial"/>
                <w:sz w:val="16"/>
                <w:szCs w:val="16"/>
              </w:rPr>
            </w:pPr>
            <w:r w:rsidRPr="00C24253">
              <w:rPr>
                <w:rFonts w:cs="Arial"/>
                <w:sz w:val="16"/>
                <w:szCs w:val="16"/>
              </w:rPr>
              <w:t>4,7</w:t>
            </w:r>
          </w:p>
        </w:tc>
        <w:tc>
          <w:tcPr>
            <w:tcW w:w="1239" w:type="dxa"/>
            <w:tcBorders>
              <w:top w:val="single" w:sz="4" w:space="0" w:color="auto"/>
              <w:left w:val="single" w:sz="4" w:space="0" w:color="auto"/>
              <w:bottom w:val="nil"/>
              <w:right w:val="single" w:sz="4" w:space="0" w:color="auto"/>
            </w:tcBorders>
            <w:shd w:val="clear" w:color="auto" w:fill="auto"/>
            <w:vAlign w:val="center"/>
            <w:hideMark/>
          </w:tcPr>
          <w:p w:rsidR="00965C4E" w:rsidRPr="00C24253" w:rsidRDefault="00965C4E" w:rsidP="00163E5B">
            <w:pPr>
              <w:jc w:val="center"/>
              <w:rPr>
                <w:rFonts w:cs="Arial"/>
                <w:sz w:val="16"/>
                <w:szCs w:val="16"/>
              </w:rPr>
            </w:pPr>
            <w:r w:rsidRPr="00C24253">
              <w:rPr>
                <w:rFonts w:cs="Arial"/>
                <w:sz w:val="16"/>
                <w:szCs w:val="16"/>
              </w:rPr>
              <w:t>4,9</w:t>
            </w:r>
          </w:p>
        </w:tc>
        <w:tc>
          <w:tcPr>
            <w:tcW w:w="1239" w:type="dxa"/>
            <w:tcBorders>
              <w:top w:val="single" w:sz="4" w:space="0" w:color="auto"/>
              <w:left w:val="nil"/>
              <w:bottom w:val="nil"/>
              <w:right w:val="single" w:sz="4" w:space="0" w:color="auto"/>
            </w:tcBorders>
            <w:shd w:val="clear" w:color="auto" w:fill="auto"/>
            <w:vAlign w:val="center"/>
            <w:hideMark/>
          </w:tcPr>
          <w:p w:rsidR="00965C4E" w:rsidRPr="00C24253" w:rsidRDefault="00965C4E" w:rsidP="00163E5B">
            <w:pPr>
              <w:jc w:val="center"/>
              <w:rPr>
                <w:rFonts w:cs="Arial"/>
                <w:sz w:val="16"/>
                <w:szCs w:val="16"/>
              </w:rPr>
            </w:pPr>
            <w:r w:rsidRPr="00C24253">
              <w:rPr>
                <w:rFonts w:cs="Arial"/>
                <w:sz w:val="16"/>
                <w:szCs w:val="16"/>
              </w:rPr>
              <w:t>4,5</w:t>
            </w:r>
          </w:p>
        </w:tc>
        <w:tc>
          <w:tcPr>
            <w:tcW w:w="1239" w:type="dxa"/>
            <w:tcBorders>
              <w:top w:val="single" w:sz="4" w:space="0" w:color="auto"/>
              <w:left w:val="nil"/>
              <w:bottom w:val="nil"/>
              <w:right w:val="single" w:sz="4" w:space="0" w:color="auto"/>
            </w:tcBorders>
            <w:shd w:val="clear" w:color="auto" w:fill="auto"/>
            <w:vAlign w:val="center"/>
            <w:hideMark/>
          </w:tcPr>
          <w:p w:rsidR="00965C4E" w:rsidRPr="00C24253" w:rsidRDefault="00965C4E" w:rsidP="00163E5B">
            <w:pPr>
              <w:jc w:val="center"/>
              <w:rPr>
                <w:rFonts w:cs="Arial"/>
                <w:sz w:val="16"/>
                <w:szCs w:val="16"/>
              </w:rPr>
            </w:pPr>
            <w:r w:rsidRPr="00C24253">
              <w:rPr>
                <w:rFonts w:cs="Arial"/>
                <w:sz w:val="16"/>
                <w:szCs w:val="16"/>
              </w:rPr>
              <w:t>4,5</w:t>
            </w:r>
          </w:p>
        </w:tc>
      </w:tr>
      <w:tr w:rsidR="00965C4E" w:rsidRPr="00C24253" w:rsidTr="008761B5">
        <w:trPr>
          <w:trHeight w:val="283"/>
          <w:jc w:val="center"/>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965C4E" w:rsidRPr="00C24253" w:rsidRDefault="00965C4E" w:rsidP="00163E5B">
            <w:pPr>
              <w:jc w:val="left"/>
              <w:rPr>
                <w:rFonts w:cs="Arial"/>
                <w:sz w:val="16"/>
                <w:szCs w:val="16"/>
              </w:rPr>
            </w:pPr>
            <w:r w:rsidRPr="00C24253">
              <w:rPr>
                <w:rFonts w:cs="Arial"/>
                <w:sz w:val="16"/>
                <w:szCs w:val="16"/>
              </w:rPr>
              <w:t>Elektronicky</w:t>
            </w:r>
          </w:p>
        </w:tc>
        <w:tc>
          <w:tcPr>
            <w:tcW w:w="1238" w:type="dxa"/>
            <w:tcBorders>
              <w:top w:val="nil"/>
              <w:left w:val="nil"/>
              <w:bottom w:val="single" w:sz="4" w:space="0" w:color="auto"/>
              <w:right w:val="nil"/>
            </w:tcBorders>
            <w:shd w:val="clear" w:color="auto" w:fill="auto"/>
            <w:vAlign w:val="center"/>
            <w:hideMark/>
          </w:tcPr>
          <w:p w:rsidR="00965C4E" w:rsidRPr="00C24253" w:rsidRDefault="00965C4E" w:rsidP="00163E5B">
            <w:pPr>
              <w:jc w:val="center"/>
              <w:rPr>
                <w:rFonts w:cs="Arial"/>
                <w:sz w:val="16"/>
                <w:szCs w:val="16"/>
              </w:rPr>
            </w:pPr>
            <w:r w:rsidRPr="00C24253">
              <w:rPr>
                <w:rFonts w:cs="Arial"/>
                <w:sz w:val="16"/>
                <w:szCs w:val="16"/>
              </w:rPr>
              <w:t>8,6</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965C4E" w:rsidRPr="00C24253" w:rsidRDefault="00965C4E" w:rsidP="00163E5B">
            <w:pPr>
              <w:jc w:val="center"/>
              <w:rPr>
                <w:rFonts w:cs="Arial"/>
                <w:sz w:val="16"/>
                <w:szCs w:val="16"/>
              </w:rPr>
            </w:pPr>
            <w:r w:rsidRPr="00C24253">
              <w:rPr>
                <w:rFonts w:cs="Arial"/>
                <w:sz w:val="16"/>
                <w:szCs w:val="16"/>
              </w:rPr>
              <w:t>8,5</w:t>
            </w:r>
          </w:p>
        </w:tc>
        <w:tc>
          <w:tcPr>
            <w:tcW w:w="1239" w:type="dxa"/>
            <w:tcBorders>
              <w:top w:val="nil"/>
              <w:left w:val="nil"/>
              <w:bottom w:val="single" w:sz="4" w:space="0" w:color="auto"/>
              <w:right w:val="single" w:sz="4" w:space="0" w:color="auto"/>
            </w:tcBorders>
            <w:shd w:val="clear" w:color="auto" w:fill="auto"/>
            <w:vAlign w:val="center"/>
            <w:hideMark/>
          </w:tcPr>
          <w:p w:rsidR="00965C4E" w:rsidRPr="00C24253" w:rsidRDefault="00965C4E" w:rsidP="00163E5B">
            <w:pPr>
              <w:jc w:val="center"/>
              <w:rPr>
                <w:rFonts w:cs="Arial"/>
                <w:sz w:val="16"/>
                <w:szCs w:val="16"/>
              </w:rPr>
            </w:pPr>
            <w:r w:rsidRPr="00C24253">
              <w:rPr>
                <w:rFonts w:cs="Arial"/>
                <w:sz w:val="16"/>
                <w:szCs w:val="16"/>
              </w:rPr>
              <w:t>8,7</w:t>
            </w:r>
          </w:p>
        </w:tc>
        <w:tc>
          <w:tcPr>
            <w:tcW w:w="1239" w:type="dxa"/>
            <w:tcBorders>
              <w:top w:val="nil"/>
              <w:left w:val="nil"/>
              <w:bottom w:val="single" w:sz="4" w:space="0" w:color="auto"/>
              <w:right w:val="single" w:sz="4" w:space="0" w:color="auto"/>
            </w:tcBorders>
            <w:shd w:val="clear" w:color="auto" w:fill="auto"/>
            <w:vAlign w:val="center"/>
            <w:hideMark/>
          </w:tcPr>
          <w:p w:rsidR="00965C4E" w:rsidRPr="00C24253" w:rsidRDefault="00965C4E" w:rsidP="00163E5B">
            <w:pPr>
              <w:jc w:val="center"/>
              <w:rPr>
                <w:rFonts w:cs="Arial"/>
                <w:sz w:val="16"/>
                <w:szCs w:val="16"/>
              </w:rPr>
            </w:pPr>
            <w:r w:rsidRPr="00C24253">
              <w:rPr>
                <w:rFonts w:cs="Arial"/>
                <w:sz w:val="16"/>
                <w:szCs w:val="16"/>
              </w:rPr>
              <w:t>8,8</w:t>
            </w:r>
          </w:p>
        </w:tc>
      </w:tr>
    </w:tbl>
    <w:p w:rsidR="00C1712E" w:rsidRPr="00C24253" w:rsidRDefault="00096A9F" w:rsidP="00664139">
      <w:pPr>
        <w:spacing w:before="360" w:after="120"/>
        <w:ind w:left="340"/>
        <w:rPr>
          <w:sz w:val="20"/>
        </w:rPr>
      </w:pPr>
      <w:r w:rsidRPr="00C24253">
        <w:rPr>
          <w:sz w:val="20"/>
        </w:rPr>
        <w:t xml:space="preserve">Doba návratu se výrazně lišila podle kanálu sběru. V případě sběru </w:t>
      </w:r>
      <w:r w:rsidR="002C2DE4" w:rsidRPr="00C24253">
        <w:rPr>
          <w:sz w:val="20"/>
        </w:rPr>
        <w:t>sčítacími komisaři</w:t>
      </w:r>
      <w:r w:rsidRPr="00C24253">
        <w:rPr>
          <w:sz w:val="20"/>
        </w:rPr>
        <w:t xml:space="preserve"> byla průměrná doba návratu kratší než u elektronického sběru. Rozdílné hodnoty byly jednak ovlivněny tím, že elektronické formuláře bylo možné odevzdávat až do 19.</w:t>
      </w:r>
      <w:r w:rsidR="002C2DE4" w:rsidRPr="00C24253">
        <w:rPr>
          <w:sz w:val="20"/>
        </w:rPr>
        <w:t xml:space="preserve"> </w:t>
      </w:r>
      <w:r w:rsidRPr="00C24253">
        <w:rPr>
          <w:sz w:val="20"/>
        </w:rPr>
        <w:t>4.</w:t>
      </w:r>
      <w:r w:rsidR="002C2DE4" w:rsidRPr="00C24253">
        <w:rPr>
          <w:sz w:val="20"/>
        </w:rPr>
        <w:t xml:space="preserve"> 2011</w:t>
      </w:r>
      <w:r w:rsidR="00F75E12">
        <w:rPr>
          <w:sz w:val="20"/>
        </w:rPr>
        <w:t xml:space="preserve">, tedy později, než </w:t>
      </w:r>
      <w:r w:rsidRPr="00C24253">
        <w:rPr>
          <w:sz w:val="20"/>
        </w:rPr>
        <w:t>tomu bylo v ostatních případech (14.</w:t>
      </w:r>
      <w:r w:rsidR="002C2DE4" w:rsidRPr="00C24253">
        <w:rPr>
          <w:sz w:val="20"/>
        </w:rPr>
        <w:t xml:space="preserve"> </w:t>
      </w:r>
      <w:r w:rsidRPr="00C24253">
        <w:rPr>
          <w:sz w:val="20"/>
        </w:rPr>
        <w:t>4.</w:t>
      </w:r>
      <w:r w:rsidR="002C2DE4" w:rsidRPr="00C24253">
        <w:rPr>
          <w:sz w:val="20"/>
        </w:rPr>
        <w:t xml:space="preserve"> </w:t>
      </w:r>
      <w:r w:rsidRPr="00C24253">
        <w:rPr>
          <w:sz w:val="20"/>
        </w:rPr>
        <w:t xml:space="preserve">2011), avšak také tím, že </w:t>
      </w:r>
      <w:r w:rsidR="004F31B0" w:rsidRPr="00C24253">
        <w:rPr>
          <w:sz w:val="20"/>
        </w:rPr>
        <w:t>sčítací komisaři</w:t>
      </w:r>
      <w:r w:rsidRPr="00C24253">
        <w:rPr>
          <w:sz w:val="20"/>
        </w:rPr>
        <w:t xml:space="preserve"> sbírali vyplněné formuláře ve většině případů (98,5 %) v prvních dvou týdnech po rozhodném okamžiku. </w:t>
      </w:r>
    </w:p>
    <w:p w:rsidR="00096A9F" w:rsidRPr="00C24253" w:rsidRDefault="00096A9F" w:rsidP="00C1712E">
      <w:pPr>
        <w:spacing w:before="120" w:after="240"/>
        <w:ind w:left="340"/>
        <w:rPr>
          <w:sz w:val="20"/>
        </w:rPr>
      </w:pPr>
      <w:r w:rsidRPr="00C24253">
        <w:rPr>
          <w:sz w:val="20"/>
        </w:rPr>
        <w:t>Výraznější diferenciace podle typu formuláře se neprojevila. Nejpozději se vracely formuláře distribuované v Praze (průměrně 8,25 dne), Zlínském (7,69 dne) a Libereckém kraji (7,68 dne). Naopak nejrychleji se vracely formuláře z Vysočiny (průměrně 6,59 dne), Jihočeského (6,88 dne) a Pardubického kraje (6,92 dne). Diferenciace napříč kraji byla daná preferencí určitých typů kanálu sběru, které měly odlišné průměrné doby návratu. Vysoká hodnota indikátoru zjištěná u Prahy je ovlivněná skutečností, že v Praze byl častěji preferován elektronický sběr formulářů.</w:t>
      </w:r>
    </w:p>
    <w:p w:rsidR="00096A9F" w:rsidRPr="00C24253" w:rsidRDefault="00096A9F" w:rsidP="004A0179">
      <w:pPr>
        <w:pStyle w:val="odrkybezmezer"/>
      </w:pPr>
      <w:r w:rsidRPr="00C24253">
        <w:rPr>
          <w:b/>
        </w:rPr>
        <w:t>Indikátor BCK</w:t>
      </w:r>
      <w:r w:rsidRPr="00C24253">
        <w:t xml:space="preserve"> – </w:t>
      </w:r>
      <w:r w:rsidRPr="00C24253">
        <w:rPr>
          <w:b/>
        </w:rPr>
        <w:t xml:space="preserve">návratnost </w:t>
      </w:r>
      <w:r w:rsidR="00C1712E" w:rsidRPr="00C24253">
        <w:t xml:space="preserve">distribuovaných </w:t>
      </w:r>
      <w:r w:rsidRPr="00C24253">
        <w:t xml:space="preserve">sčítacích </w:t>
      </w:r>
      <w:r w:rsidRPr="00C24253">
        <w:rPr>
          <w:b/>
        </w:rPr>
        <w:t>formulářů</w:t>
      </w:r>
      <w:r w:rsidRPr="00C24253">
        <w:t xml:space="preserve"> vyjadřuje podíl počtu sebraných na počtu distribuovaných formulářů</w:t>
      </w:r>
      <w:r w:rsidR="00C1712E" w:rsidRPr="00C24253">
        <w:t>.</w:t>
      </w:r>
      <w:r w:rsidRPr="00C24253">
        <w:t xml:space="preserve"> Sledování návratnosti bylo klíčové pro určení kvality získaných dat.</w:t>
      </w:r>
    </w:p>
    <w:p w:rsidR="00F13D2E" w:rsidRPr="00C24253" w:rsidRDefault="00F13D2E" w:rsidP="00F13D2E">
      <w:pPr>
        <w:ind w:left="1134"/>
        <w:jc w:val="left"/>
        <w:rPr>
          <w:b/>
          <w:sz w:val="20"/>
          <w:szCs w:val="20"/>
        </w:rPr>
      </w:pPr>
      <w:r w:rsidRPr="00C24253">
        <w:rPr>
          <w:b/>
          <w:sz w:val="20"/>
          <w:szCs w:val="20"/>
        </w:rPr>
        <w:t>Indikátor BCP -  n</w:t>
      </w:r>
      <w:r w:rsidR="002C2DE4" w:rsidRPr="00C24253">
        <w:rPr>
          <w:b/>
          <w:sz w:val="20"/>
          <w:szCs w:val="20"/>
        </w:rPr>
        <w:t xml:space="preserve">ávratnost distribuovaných sčítacích formulářů </w:t>
      </w:r>
    </w:p>
    <w:p w:rsidR="00096A9F" w:rsidRPr="00C24253" w:rsidRDefault="002C2DE4" w:rsidP="00F13D2E">
      <w:pPr>
        <w:spacing w:after="120"/>
        <w:ind w:left="1134"/>
        <w:jc w:val="left"/>
        <w:rPr>
          <w:b/>
          <w:sz w:val="20"/>
          <w:szCs w:val="20"/>
        </w:rPr>
      </w:pPr>
      <w:r w:rsidRPr="00C24253">
        <w:rPr>
          <w:b/>
          <w:sz w:val="20"/>
          <w:szCs w:val="20"/>
        </w:rPr>
        <w:t xml:space="preserve">podle </w:t>
      </w:r>
      <w:r w:rsidR="00096A9F" w:rsidRPr="00C24253">
        <w:rPr>
          <w:b/>
          <w:sz w:val="20"/>
          <w:szCs w:val="20"/>
        </w:rPr>
        <w:t>způsobu distribuce v %</w:t>
      </w:r>
    </w:p>
    <w:tbl>
      <w:tblPr>
        <w:tblW w:w="0" w:type="auto"/>
        <w:jc w:val="center"/>
        <w:tblInd w:w="55" w:type="dxa"/>
        <w:tblLayout w:type="fixed"/>
        <w:tblCellMar>
          <w:left w:w="70" w:type="dxa"/>
          <w:right w:w="70" w:type="dxa"/>
        </w:tblCellMar>
        <w:tblLook w:val="04A0"/>
      </w:tblPr>
      <w:tblGrid>
        <w:gridCol w:w="2467"/>
        <w:gridCol w:w="1701"/>
        <w:gridCol w:w="1134"/>
        <w:gridCol w:w="1134"/>
        <w:gridCol w:w="1134"/>
      </w:tblGrid>
      <w:tr w:rsidR="00163E5B" w:rsidRPr="00C24253" w:rsidTr="008761B5">
        <w:trPr>
          <w:trHeight w:val="510"/>
          <w:jc w:val="center"/>
        </w:trPr>
        <w:tc>
          <w:tcPr>
            <w:tcW w:w="2467" w:type="dxa"/>
            <w:tcBorders>
              <w:top w:val="single" w:sz="4" w:space="0" w:color="auto"/>
              <w:left w:val="single" w:sz="4" w:space="0" w:color="auto"/>
              <w:bottom w:val="single" w:sz="4" w:space="0" w:color="auto"/>
              <w:right w:val="nil"/>
            </w:tcBorders>
            <w:shd w:val="clear" w:color="auto" w:fill="auto"/>
            <w:noWrap/>
            <w:vAlign w:val="center"/>
            <w:hideMark/>
          </w:tcPr>
          <w:p w:rsidR="00163E5B" w:rsidRPr="00C24253" w:rsidRDefault="00163E5B" w:rsidP="002C2DE4">
            <w:pPr>
              <w:jc w:val="left"/>
              <w:rPr>
                <w:rFonts w:cs="Arial"/>
                <w:sz w:val="16"/>
                <w:szCs w:val="16"/>
              </w:rPr>
            </w:pPr>
            <w:r w:rsidRPr="00C24253">
              <w:rPr>
                <w:rFonts w:cs="Arial"/>
                <w:sz w:val="16"/>
                <w:szCs w:val="16"/>
              </w:rPr>
              <w:t>Způsob distribuce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3E5B" w:rsidRPr="00C24253" w:rsidRDefault="00163E5B" w:rsidP="002C2DE4">
            <w:pPr>
              <w:jc w:val="center"/>
              <w:rPr>
                <w:rFonts w:cs="Arial"/>
                <w:sz w:val="16"/>
                <w:szCs w:val="16"/>
              </w:rPr>
            </w:pPr>
            <w:r w:rsidRPr="00C24253">
              <w:rPr>
                <w:rFonts w:cs="Arial"/>
                <w:sz w:val="16"/>
                <w:szCs w:val="16"/>
              </w:rPr>
              <w:t>Všechny typy sčítacích formulářů</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3E5B" w:rsidRPr="00C24253" w:rsidRDefault="00163E5B" w:rsidP="0075311A">
            <w:pPr>
              <w:jc w:val="center"/>
              <w:rPr>
                <w:rFonts w:cs="Arial"/>
                <w:sz w:val="16"/>
                <w:szCs w:val="16"/>
              </w:rPr>
            </w:pPr>
            <w:r w:rsidRPr="00C24253">
              <w:rPr>
                <w:rFonts w:cs="Arial"/>
                <w:sz w:val="16"/>
                <w:szCs w:val="16"/>
              </w:rPr>
              <w:t>Sčítací list osob</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3E5B" w:rsidRPr="00C24253" w:rsidRDefault="00163E5B" w:rsidP="004A6C50">
            <w:pPr>
              <w:rPr>
                <w:sz w:val="16"/>
                <w:szCs w:val="16"/>
              </w:rPr>
            </w:pPr>
            <w:r w:rsidRPr="00C24253">
              <w:rPr>
                <w:sz w:val="16"/>
                <w:szCs w:val="16"/>
              </w:rPr>
              <w:t>Bytový list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63E5B" w:rsidRPr="00C24253" w:rsidRDefault="00163E5B" w:rsidP="0075311A">
            <w:pPr>
              <w:jc w:val="center"/>
              <w:rPr>
                <w:rFonts w:cs="Arial"/>
                <w:sz w:val="16"/>
                <w:szCs w:val="16"/>
              </w:rPr>
            </w:pPr>
            <w:r w:rsidRPr="00C24253">
              <w:rPr>
                <w:rFonts w:cs="Arial"/>
                <w:sz w:val="16"/>
                <w:szCs w:val="16"/>
              </w:rPr>
              <w:t>Domovní list</w:t>
            </w:r>
          </w:p>
        </w:tc>
      </w:tr>
      <w:tr w:rsidR="002C2DE4" w:rsidRPr="00C24253" w:rsidTr="00C1712E">
        <w:trPr>
          <w:trHeight w:val="283"/>
          <w:jc w:val="center"/>
        </w:trPr>
        <w:tc>
          <w:tcPr>
            <w:tcW w:w="2467" w:type="dxa"/>
            <w:tcBorders>
              <w:top w:val="nil"/>
              <w:left w:val="single" w:sz="4" w:space="0" w:color="auto"/>
              <w:bottom w:val="nil"/>
              <w:right w:val="nil"/>
            </w:tcBorders>
            <w:shd w:val="clear" w:color="auto" w:fill="auto"/>
            <w:vAlign w:val="center"/>
            <w:hideMark/>
          </w:tcPr>
          <w:p w:rsidR="00096A9F" w:rsidRPr="00C24253" w:rsidRDefault="002C2DE4" w:rsidP="002C2DE4">
            <w:pPr>
              <w:jc w:val="left"/>
              <w:rPr>
                <w:rFonts w:cs="Arial"/>
                <w:sz w:val="16"/>
                <w:szCs w:val="16"/>
              </w:rPr>
            </w:pPr>
            <w:r w:rsidRPr="00C24253">
              <w:rPr>
                <w:rFonts w:cs="Arial"/>
                <w:sz w:val="16"/>
                <w:szCs w:val="16"/>
              </w:rPr>
              <w:t>Sčítací komisaři České pošty</w:t>
            </w:r>
          </w:p>
        </w:tc>
        <w:tc>
          <w:tcPr>
            <w:tcW w:w="1701" w:type="dxa"/>
            <w:tcBorders>
              <w:top w:val="nil"/>
              <w:left w:val="single" w:sz="4" w:space="0" w:color="auto"/>
              <w:bottom w:val="nil"/>
              <w:right w:val="single" w:sz="4" w:space="0" w:color="auto"/>
            </w:tcBorders>
            <w:shd w:val="clear" w:color="auto" w:fill="auto"/>
            <w:vAlign w:val="center"/>
            <w:hideMark/>
          </w:tcPr>
          <w:p w:rsidR="00096A9F" w:rsidRPr="00C24253" w:rsidRDefault="00096A9F" w:rsidP="00F8270C">
            <w:pPr>
              <w:jc w:val="center"/>
              <w:rPr>
                <w:rFonts w:cs="Arial"/>
                <w:sz w:val="16"/>
                <w:szCs w:val="16"/>
              </w:rPr>
            </w:pPr>
            <w:r w:rsidRPr="00C24253">
              <w:rPr>
                <w:rFonts w:cs="Arial"/>
                <w:sz w:val="16"/>
                <w:szCs w:val="16"/>
              </w:rPr>
              <w:t>96,8</w:t>
            </w:r>
          </w:p>
        </w:tc>
        <w:tc>
          <w:tcPr>
            <w:tcW w:w="1134" w:type="dxa"/>
            <w:tcBorders>
              <w:top w:val="nil"/>
              <w:left w:val="nil"/>
              <w:bottom w:val="nil"/>
              <w:right w:val="single" w:sz="4" w:space="0" w:color="auto"/>
            </w:tcBorders>
            <w:shd w:val="clear" w:color="auto" w:fill="auto"/>
            <w:vAlign w:val="center"/>
            <w:hideMark/>
          </w:tcPr>
          <w:p w:rsidR="00096A9F" w:rsidRPr="00C24253" w:rsidRDefault="00096A9F" w:rsidP="00F8270C">
            <w:pPr>
              <w:jc w:val="center"/>
              <w:rPr>
                <w:rFonts w:cs="Arial"/>
                <w:sz w:val="16"/>
                <w:szCs w:val="16"/>
              </w:rPr>
            </w:pPr>
            <w:r w:rsidRPr="00C24253">
              <w:rPr>
                <w:rFonts w:cs="Arial"/>
                <w:sz w:val="16"/>
                <w:szCs w:val="16"/>
              </w:rPr>
              <w:t>96,5</w:t>
            </w:r>
          </w:p>
        </w:tc>
        <w:tc>
          <w:tcPr>
            <w:tcW w:w="1134" w:type="dxa"/>
            <w:tcBorders>
              <w:top w:val="nil"/>
              <w:left w:val="nil"/>
              <w:bottom w:val="nil"/>
              <w:right w:val="single" w:sz="4" w:space="0" w:color="auto"/>
            </w:tcBorders>
            <w:shd w:val="clear" w:color="auto" w:fill="auto"/>
            <w:vAlign w:val="center"/>
            <w:hideMark/>
          </w:tcPr>
          <w:p w:rsidR="00096A9F" w:rsidRPr="00C24253" w:rsidRDefault="00096A9F" w:rsidP="00F8270C">
            <w:pPr>
              <w:jc w:val="center"/>
              <w:rPr>
                <w:rFonts w:cs="Arial"/>
                <w:sz w:val="16"/>
                <w:szCs w:val="16"/>
              </w:rPr>
            </w:pPr>
            <w:r w:rsidRPr="00C24253">
              <w:rPr>
                <w:rFonts w:cs="Arial"/>
                <w:sz w:val="16"/>
                <w:szCs w:val="16"/>
              </w:rPr>
              <w:t>97,0</w:t>
            </w:r>
          </w:p>
        </w:tc>
        <w:tc>
          <w:tcPr>
            <w:tcW w:w="1134" w:type="dxa"/>
            <w:tcBorders>
              <w:top w:val="nil"/>
              <w:left w:val="nil"/>
              <w:bottom w:val="nil"/>
              <w:right w:val="single" w:sz="4" w:space="0" w:color="auto"/>
            </w:tcBorders>
            <w:shd w:val="clear" w:color="auto" w:fill="auto"/>
            <w:vAlign w:val="center"/>
            <w:hideMark/>
          </w:tcPr>
          <w:p w:rsidR="00096A9F" w:rsidRPr="00C24253" w:rsidRDefault="00096A9F" w:rsidP="00F8270C">
            <w:pPr>
              <w:jc w:val="center"/>
              <w:rPr>
                <w:rFonts w:cs="Arial"/>
                <w:sz w:val="16"/>
                <w:szCs w:val="16"/>
              </w:rPr>
            </w:pPr>
            <w:r w:rsidRPr="00C24253">
              <w:rPr>
                <w:rFonts w:cs="Arial"/>
                <w:sz w:val="16"/>
                <w:szCs w:val="16"/>
              </w:rPr>
              <w:t>97,6</w:t>
            </w:r>
          </w:p>
        </w:tc>
      </w:tr>
      <w:tr w:rsidR="002C2DE4" w:rsidRPr="00C24253" w:rsidTr="00C1712E">
        <w:trPr>
          <w:trHeight w:val="283"/>
          <w:jc w:val="center"/>
        </w:trPr>
        <w:tc>
          <w:tcPr>
            <w:tcW w:w="2467" w:type="dxa"/>
            <w:tcBorders>
              <w:top w:val="nil"/>
              <w:left w:val="single" w:sz="4" w:space="0" w:color="auto"/>
              <w:bottom w:val="single" w:sz="4" w:space="0" w:color="auto"/>
              <w:right w:val="nil"/>
            </w:tcBorders>
            <w:shd w:val="clear" w:color="auto" w:fill="auto"/>
            <w:vAlign w:val="center"/>
            <w:hideMark/>
          </w:tcPr>
          <w:p w:rsidR="00096A9F" w:rsidRPr="00C24253" w:rsidRDefault="002C2DE4" w:rsidP="002C2DE4">
            <w:pPr>
              <w:jc w:val="left"/>
              <w:rPr>
                <w:rFonts w:cs="Arial"/>
                <w:sz w:val="16"/>
                <w:szCs w:val="16"/>
              </w:rPr>
            </w:pPr>
            <w:r w:rsidRPr="00C24253">
              <w:rPr>
                <w:rFonts w:cs="Arial"/>
                <w:sz w:val="16"/>
                <w:szCs w:val="16"/>
              </w:rPr>
              <w:t>Sč</w:t>
            </w:r>
            <w:r w:rsidR="00F8270C" w:rsidRPr="00C24253">
              <w:rPr>
                <w:rFonts w:cs="Arial"/>
                <w:sz w:val="16"/>
                <w:szCs w:val="16"/>
              </w:rPr>
              <w:t>í</w:t>
            </w:r>
            <w:r w:rsidRPr="00C24253">
              <w:rPr>
                <w:rFonts w:cs="Arial"/>
                <w:sz w:val="16"/>
                <w:szCs w:val="16"/>
              </w:rPr>
              <w:t>tací komisaři Č</w:t>
            </w:r>
            <w:r w:rsidR="00096A9F" w:rsidRPr="00C24253">
              <w:rPr>
                <w:rFonts w:cs="Arial"/>
                <w:sz w:val="16"/>
                <w:szCs w:val="16"/>
              </w:rPr>
              <w:t>SÚ</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96A9F" w:rsidRPr="00C24253" w:rsidRDefault="00096A9F" w:rsidP="00F8270C">
            <w:pPr>
              <w:jc w:val="center"/>
              <w:rPr>
                <w:rFonts w:cs="Arial"/>
                <w:sz w:val="16"/>
                <w:szCs w:val="16"/>
              </w:rPr>
            </w:pPr>
            <w:r w:rsidRPr="00C24253">
              <w:rPr>
                <w:rFonts w:cs="Arial"/>
                <w:sz w:val="16"/>
                <w:szCs w:val="16"/>
              </w:rPr>
              <w:t>97,6</w:t>
            </w:r>
          </w:p>
        </w:tc>
        <w:tc>
          <w:tcPr>
            <w:tcW w:w="1134" w:type="dxa"/>
            <w:tcBorders>
              <w:top w:val="nil"/>
              <w:left w:val="nil"/>
              <w:bottom w:val="single" w:sz="4" w:space="0" w:color="auto"/>
              <w:right w:val="single" w:sz="4" w:space="0" w:color="auto"/>
            </w:tcBorders>
            <w:shd w:val="clear" w:color="auto" w:fill="auto"/>
            <w:vAlign w:val="center"/>
            <w:hideMark/>
          </w:tcPr>
          <w:p w:rsidR="00096A9F" w:rsidRPr="00C24253" w:rsidRDefault="00096A9F" w:rsidP="00F8270C">
            <w:pPr>
              <w:jc w:val="center"/>
              <w:rPr>
                <w:rFonts w:cs="Arial"/>
                <w:sz w:val="16"/>
                <w:szCs w:val="16"/>
              </w:rPr>
            </w:pPr>
            <w:r w:rsidRPr="00C24253">
              <w:rPr>
                <w:rFonts w:cs="Arial"/>
                <w:sz w:val="16"/>
                <w:szCs w:val="16"/>
              </w:rPr>
              <w:t>97,3</w:t>
            </w:r>
          </w:p>
        </w:tc>
        <w:tc>
          <w:tcPr>
            <w:tcW w:w="1134" w:type="dxa"/>
            <w:tcBorders>
              <w:top w:val="nil"/>
              <w:left w:val="nil"/>
              <w:bottom w:val="single" w:sz="4" w:space="0" w:color="auto"/>
              <w:right w:val="single" w:sz="4" w:space="0" w:color="auto"/>
            </w:tcBorders>
            <w:shd w:val="clear" w:color="auto" w:fill="auto"/>
            <w:vAlign w:val="center"/>
            <w:hideMark/>
          </w:tcPr>
          <w:p w:rsidR="00096A9F" w:rsidRPr="00C24253" w:rsidRDefault="00096A9F" w:rsidP="00F8270C">
            <w:pPr>
              <w:jc w:val="center"/>
              <w:rPr>
                <w:rFonts w:cs="Arial"/>
                <w:sz w:val="16"/>
                <w:szCs w:val="16"/>
              </w:rPr>
            </w:pPr>
            <w:r w:rsidRPr="00C24253">
              <w:rPr>
                <w:rFonts w:cs="Arial"/>
                <w:sz w:val="16"/>
                <w:szCs w:val="16"/>
              </w:rPr>
              <w:t>98,8</w:t>
            </w:r>
          </w:p>
        </w:tc>
        <w:tc>
          <w:tcPr>
            <w:tcW w:w="1134" w:type="dxa"/>
            <w:tcBorders>
              <w:top w:val="nil"/>
              <w:left w:val="nil"/>
              <w:bottom w:val="single" w:sz="4" w:space="0" w:color="auto"/>
              <w:right w:val="single" w:sz="4" w:space="0" w:color="auto"/>
            </w:tcBorders>
            <w:shd w:val="clear" w:color="auto" w:fill="auto"/>
            <w:vAlign w:val="center"/>
            <w:hideMark/>
          </w:tcPr>
          <w:p w:rsidR="00096A9F" w:rsidRPr="00C24253" w:rsidRDefault="00096A9F" w:rsidP="00F8270C">
            <w:pPr>
              <w:jc w:val="center"/>
              <w:rPr>
                <w:rFonts w:cs="Arial"/>
                <w:sz w:val="16"/>
                <w:szCs w:val="16"/>
              </w:rPr>
            </w:pPr>
            <w:r w:rsidRPr="00C24253">
              <w:rPr>
                <w:rFonts w:cs="Arial"/>
                <w:sz w:val="16"/>
                <w:szCs w:val="16"/>
              </w:rPr>
              <w:t>98,6</w:t>
            </w:r>
          </w:p>
        </w:tc>
      </w:tr>
      <w:tr w:rsidR="002C2DE4" w:rsidRPr="00C24253" w:rsidTr="00B875EE">
        <w:trPr>
          <w:trHeight w:val="397"/>
          <w:jc w:val="center"/>
        </w:trPr>
        <w:tc>
          <w:tcPr>
            <w:tcW w:w="2467" w:type="dxa"/>
            <w:tcBorders>
              <w:top w:val="single" w:sz="4" w:space="0" w:color="auto"/>
              <w:left w:val="single" w:sz="4" w:space="0" w:color="auto"/>
              <w:bottom w:val="single" w:sz="4" w:space="0" w:color="auto"/>
              <w:right w:val="nil"/>
            </w:tcBorders>
            <w:shd w:val="clear" w:color="auto" w:fill="auto"/>
            <w:noWrap/>
            <w:vAlign w:val="center"/>
            <w:hideMark/>
          </w:tcPr>
          <w:p w:rsidR="00096A9F" w:rsidRPr="00C24253" w:rsidRDefault="00096A9F" w:rsidP="002C2DE4">
            <w:pPr>
              <w:jc w:val="left"/>
              <w:rPr>
                <w:rFonts w:cs="Arial"/>
                <w:b/>
                <w:sz w:val="16"/>
                <w:szCs w:val="16"/>
              </w:rPr>
            </w:pPr>
            <w:r w:rsidRPr="00C24253">
              <w:rPr>
                <w:rFonts w:cs="Arial"/>
                <w:b/>
                <w:sz w:val="16"/>
                <w:szCs w:val="16"/>
              </w:rPr>
              <w:t>Celkem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A9F" w:rsidRPr="00C24253" w:rsidRDefault="00096A9F" w:rsidP="00F8270C">
            <w:pPr>
              <w:jc w:val="center"/>
              <w:rPr>
                <w:rFonts w:cs="Arial"/>
                <w:b/>
                <w:sz w:val="16"/>
                <w:szCs w:val="16"/>
              </w:rPr>
            </w:pPr>
            <w:r w:rsidRPr="00C24253">
              <w:rPr>
                <w:rFonts w:cs="Arial"/>
                <w:b/>
                <w:sz w:val="16"/>
                <w:szCs w:val="16"/>
              </w:rPr>
              <w:t>96,8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96A9F" w:rsidRPr="00C24253" w:rsidRDefault="00096A9F" w:rsidP="00F8270C">
            <w:pPr>
              <w:jc w:val="center"/>
              <w:rPr>
                <w:rFonts w:cs="Arial"/>
                <w:b/>
                <w:sz w:val="16"/>
                <w:szCs w:val="16"/>
              </w:rPr>
            </w:pPr>
            <w:r w:rsidRPr="00C24253">
              <w:rPr>
                <w:rFonts w:cs="Arial"/>
                <w:b/>
                <w:sz w:val="16"/>
                <w:szCs w:val="16"/>
              </w:rPr>
              <w:t>96,5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96A9F" w:rsidRPr="00C24253" w:rsidRDefault="00096A9F" w:rsidP="00F8270C">
            <w:pPr>
              <w:jc w:val="center"/>
              <w:rPr>
                <w:rFonts w:cs="Arial"/>
                <w:b/>
                <w:sz w:val="16"/>
                <w:szCs w:val="16"/>
              </w:rPr>
            </w:pPr>
            <w:r w:rsidRPr="00C24253">
              <w:rPr>
                <w:rFonts w:cs="Arial"/>
                <w:b/>
                <w:sz w:val="16"/>
                <w:szCs w:val="16"/>
              </w:rPr>
              <w:t>97,0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96A9F" w:rsidRPr="00C24253" w:rsidRDefault="00096A9F" w:rsidP="00F8270C">
            <w:pPr>
              <w:jc w:val="center"/>
              <w:rPr>
                <w:rFonts w:cs="Arial"/>
                <w:b/>
                <w:sz w:val="16"/>
                <w:szCs w:val="16"/>
              </w:rPr>
            </w:pPr>
            <w:r w:rsidRPr="00C24253">
              <w:rPr>
                <w:rFonts w:cs="Arial"/>
                <w:b/>
                <w:sz w:val="16"/>
                <w:szCs w:val="16"/>
              </w:rPr>
              <w:t>97,6</w:t>
            </w:r>
          </w:p>
        </w:tc>
      </w:tr>
    </w:tbl>
    <w:p w:rsidR="00096A9F" w:rsidRPr="00C24253" w:rsidRDefault="00096A9F" w:rsidP="00664139">
      <w:pPr>
        <w:spacing w:before="360" w:after="240"/>
        <w:ind w:left="340"/>
        <w:rPr>
          <w:sz w:val="20"/>
          <w:szCs w:val="20"/>
        </w:rPr>
      </w:pPr>
      <w:r w:rsidRPr="00C24253">
        <w:rPr>
          <w:sz w:val="20"/>
          <w:szCs w:val="20"/>
        </w:rPr>
        <w:t xml:space="preserve">Mírně vyšší podíl návratnosti byl při distribuci komisaři ČSÚ. Zároveň byla mírně vyšší návratnost bytových a domovních listů oproti listu osob.  Návratnost se příliš nelišila ani podle místa distribuce. Nejnižší byla v Praze (95 %) a nejvyšší na Vysočině (98 %). </w:t>
      </w:r>
    </w:p>
    <w:p w:rsidR="002E4032" w:rsidRDefault="00096A9F" w:rsidP="002E4032">
      <w:pPr>
        <w:pStyle w:val="odrkybezmezer"/>
      </w:pPr>
      <w:r w:rsidRPr="00C24253">
        <w:rPr>
          <w:rFonts w:eastAsia="Calibri"/>
          <w:b/>
        </w:rPr>
        <w:t>Indikátor RSF</w:t>
      </w:r>
      <w:r w:rsidRPr="00C24253">
        <w:rPr>
          <w:rFonts w:eastAsia="Calibri"/>
        </w:rPr>
        <w:t xml:space="preserve"> – </w:t>
      </w:r>
      <w:r w:rsidRPr="00C24253">
        <w:rPr>
          <w:rFonts w:eastAsia="Calibri"/>
          <w:b/>
        </w:rPr>
        <w:t>míra vyplnění</w:t>
      </w:r>
      <w:r w:rsidRPr="00C24253">
        <w:rPr>
          <w:rFonts w:eastAsia="Calibri"/>
        </w:rPr>
        <w:t xml:space="preserve"> </w:t>
      </w:r>
      <w:r w:rsidR="004A0179" w:rsidRPr="00C24253">
        <w:t>sčítacích tiskopisů</w:t>
      </w:r>
      <w:r w:rsidRPr="00C24253">
        <w:rPr>
          <w:rFonts w:eastAsia="Calibri"/>
        </w:rPr>
        <w:t xml:space="preserve"> sleduje, kolik otázek na </w:t>
      </w:r>
      <w:r w:rsidR="00F13D2E" w:rsidRPr="00C24253">
        <w:rPr>
          <w:rFonts w:eastAsia="Calibri"/>
        </w:rPr>
        <w:t>sčítacích tiskopisech</w:t>
      </w:r>
      <w:r w:rsidRPr="00C24253">
        <w:rPr>
          <w:rFonts w:eastAsia="Calibri"/>
        </w:rPr>
        <w:t xml:space="preserve"> bylo vyplněno z celkového počtu otázek,</w:t>
      </w:r>
      <w:r w:rsidRPr="00C24253">
        <w:t xml:space="preserve"> které měly být zodpovězeny</w:t>
      </w:r>
      <w:r w:rsidRPr="00C24253">
        <w:rPr>
          <w:b/>
        </w:rPr>
        <w:t xml:space="preserve">. </w:t>
      </w:r>
      <w:r w:rsidR="002E4032" w:rsidRPr="00C24253">
        <w:t>V průměru nejvíce vyplněné byly DL (98 %), což lze částečně vysvětlit nenáročností a srozumitelností SF a také nejvyšší mírou předvyplnění. Naopak nejnižší byla míra vyplnění BL (88 %), která byla z velké části ovlivněna nízkou vyplněností otázky na velikost bytu (počet a plocha obytných místností se 4-7,9 m</w:t>
      </w:r>
      <w:r w:rsidR="002E4032" w:rsidRPr="00C24253">
        <w:rPr>
          <w:vertAlign w:val="superscript"/>
        </w:rPr>
        <w:t>2</w:t>
      </w:r>
      <w:r w:rsidR="002E4032" w:rsidRPr="00C24253">
        <w:t>). Více než polovina všech formulářů měla 100% vyplněnost a 99 % formulářů bylo alespoň z poloviny vyplněných.</w:t>
      </w:r>
    </w:p>
    <w:p w:rsidR="00F13D2E" w:rsidRPr="00C24253" w:rsidRDefault="00664139" w:rsidP="00664139">
      <w:pPr>
        <w:pStyle w:val="odrkybezmezer"/>
        <w:numPr>
          <w:ilvl w:val="0"/>
          <w:numId w:val="0"/>
        </w:numPr>
        <w:spacing w:after="0"/>
        <w:ind w:left="992"/>
        <w:rPr>
          <w:b/>
        </w:rPr>
      </w:pPr>
      <w:r>
        <w:br w:type="page"/>
      </w:r>
      <w:r w:rsidR="00F13D2E" w:rsidRPr="00EF2C1D">
        <w:rPr>
          <w:rStyle w:val="odrkybezmezerChar"/>
          <w:sz w:val="20"/>
          <w:szCs w:val="20"/>
        </w:rPr>
        <w:t>Indikátor RSF</w:t>
      </w:r>
      <w:r w:rsidR="00F13D2E" w:rsidRPr="00C24253">
        <w:rPr>
          <w:rStyle w:val="odrkybezmezerChar"/>
        </w:rPr>
        <w:t xml:space="preserve"> - </w:t>
      </w:r>
      <w:r w:rsidR="004A6C50" w:rsidRPr="00C24253">
        <w:rPr>
          <w:b/>
        </w:rPr>
        <w:t>Podíl vyplněných otázek na sčítacích tiskopisech</w:t>
      </w:r>
      <w:r w:rsidR="00F13D2E" w:rsidRPr="00C24253">
        <w:rPr>
          <w:b/>
        </w:rPr>
        <w:t xml:space="preserve"> </w:t>
      </w:r>
    </w:p>
    <w:p w:rsidR="00096A9F" w:rsidRPr="00C24253" w:rsidRDefault="00096A9F" w:rsidP="00610DBA">
      <w:pPr>
        <w:spacing w:after="120"/>
        <w:ind w:left="1416" w:hanging="423"/>
        <w:rPr>
          <w:b/>
          <w:sz w:val="20"/>
          <w:szCs w:val="20"/>
        </w:rPr>
      </w:pPr>
      <w:r w:rsidRPr="00C24253">
        <w:rPr>
          <w:b/>
          <w:sz w:val="20"/>
          <w:szCs w:val="20"/>
        </w:rPr>
        <w:t>podle způsobu</w:t>
      </w:r>
      <w:r w:rsidRPr="00C24253">
        <w:rPr>
          <w:b/>
          <w:bCs/>
          <w:sz w:val="20"/>
          <w:szCs w:val="20"/>
        </w:rPr>
        <w:t xml:space="preserve"> distribuce a kanálu sběru v %</w:t>
      </w:r>
    </w:p>
    <w:tbl>
      <w:tblPr>
        <w:tblW w:w="7718" w:type="dxa"/>
        <w:jc w:val="center"/>
        <w:tblInd w:w="55" w:type="dxa"/>
        <w:tblCellMar>
          <w:left w:w="70" w:type="dxa"/>
          <w:right w:w="70" w:type="dxa"/>
        </w:tblCellMar>
        <w:tblLook w:val="04A0"/>
      </w:tblPr>
      <w:tblGrid>
        <w:gridCol w:w="2438"/>
        <w:gridCol w:w="1560"/>
        <w:gridCol w:w="1240"/>
        <w:gridCol w:w="1240"/>
        <w:gridCol w:w="1240"/>
      </w:tblGrid>
      <w:tr w:rsidR="004A6C50" w:rsidRPr="00C24253" w:rsidTr="00B875EE">
        <w:trPr>
          <w:trHeight w:val="567"/>
          <w:jc w:val="center"/>
        </w:trPr>
        <w:tc>
          <w:tcPr>
            <w:tcW w:w="2438" w:type="dxa"/>
            <w:tcBorders>
              <w:top w:val="single" w:sz="4" w:space="0" w:color="auto"/>
              <w:left w:val="single" w:sz="4" w:space="0" w:color="auto"/>
              <w:bottom w:val="single" w:sz="4" w:space="0" w:color="auto"/>
              <w:right w:val="nil"/>
            </w:tcBorders>
            <w:shd w:val="clear" w:color="auto" w:fill="auto"/>
            <w:noWrap/>
            <w:vAlign w:val="center"/>
            <w:hideMark/>
          </w:tcPr>
          <w:p w:rsidR="00F246D1" w:rsidRDefault="00F13D2E" w:rsidP="004F31B0">
            <w:pPr>
              <w:jc w:val="left"/>
              <w:rPr>
                <w:rFonts w:cs="Arial"/>
                <w:sz w:val="16"/>
                <w:szCs w:val="16"/>
              </w:rPr>
            </w:pPr>
            <w:r w:rsidRPr="00C24253">
              <w:rPr>
                <w:rFonts w:cs="Arial"/>
                <w:sz w:val="16"/>
                <w:szCs w:val="16"/>
              </w:rPr>
              <w:t xml:space="preserve">Způsob distribuce </w:t>
            </w:r>
          </w:p>
          <w:p w:rsidR="004A6C50" w:rsidRPr="00C24253" w:rsidRDefault="00F13D2E" w:rsidP="004F31B0">
            <w:pPr>
              <w:jc w:val="left"/>
              <w:rPr>
                <w:rFonts w:cs="Arial"/>
                <w:sz w:val="16"/>
                <w:szCs w:val="16"/>
              </w:rPr>
            </w:pPr>
            <w:r w:rsidRPr="00C24253">
              <w:rPr>
                <w:rFonts w:cs="Arial"/>
                <w:sz w:val="16"/>
                <w:szCs w:val="16"/>
              </w:rPr>
              <w:t>Kanál sběru</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C50" w:rsidRPr="00C24253" w:rsidRDefault="004A6C50" w:rsidP="0075311A">
            <w:pPr>
              <w:jc w:val="center"/>
              <w:rPr>
                <w:rFonts w:cs="Arial"/>
                <w:sz w:val="16"/>
                <w:szCs w:val="16"/>
              </w:rPr>
            </w:pPr>
            <w:r w:rsidRPr="00C24253">
              <w:rPr>
                <w:rFonts w:cs="Arial"/>
                <w:sz w:val="16"/>
                <w:szCs w:val="16"/>
              </w:rPr>
              <w:t>Všechny typy sčítacích formulářů</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4A6C50" w:rsidRPr="00C24253" w:rsidRDefault="004A6C50" w:rsidP="0075311A">
            <w:pPr>
              <w:jc w:val="center"/>
              <w:rPr>
                <w:rFonts w:cs="Arial"/>
                <w:sz w:val="16"/>
                <w:szCs w:val="16"/>
              </w:rPr>
            </w:pPr>
            <w:r w:rsidRPr="00C24253">
              <w:rPr>
                <w:rFonts w:cs="Arial"/>
                <w:sz w:val="16"/>
                <w:szCs w:val="16"/>
              </w:rPr>
              <w:t>Sčítací list osob</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4A6C50" w:rsidRPr="00C24253" w:rsidRDefault="004A6C50" w:rsidP="0075311A">
            <w:pPr>
              <w:rPr>
                <w:sz w:val="16"/>
                <w:szCs w:val="16"/>
              </w:rPr>
            </w:pPr>
            <w:r w:rsidRPr="00C24253">
              <w:rPr>
                <w:sz w:val="16"/>
                <w:szCs w:val="16"/>
              </w:rPr>
              <w:t>Bytový list</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4A6C50" w:rsidRPr="00C24253" w:rsidRDefault="004A6C50" w:rsidP="0075311A">
            <w:pPr>
              <w:jc w:val="center"/>
              <w:rPr>
                <w:rFonts w:cs="Arial"/>
                <w:sz w:val="16"/>
                <w:szCs w:val="16"/>
              </w:rPr>
            </w:pPr>
            <w:r w:rsidRPr="00C24253">
              <w:rPr>
                <w:rFonts w:cs="Arial"/>
                <w:sz w:val="16"/>
                <w:szCs w:val="16"/>
              </w:rPr>
              <w:t>Domovní list</w:t>
            </w:r>
          </w:p>
        </w:tc>
      </w:tr>
      <w:tr w:rsidR="00F13D2E" w:rsidRPr="00C24253" w:rsidTr="00B875EE">
        <w:trPr>
          <w:trHeight w:val="340"/>
          <w:jc w:val="center"/>
        </w:trPr>
        <w:tc>
          <w:tcPr>
            <w:tcW w:w="2438" w:type="dxa"/>
            <w:tcBorders>
              <w:top w:val="nil"/>
              <w:left w:val="single" w:sz="4" w:space="0" w:color="auto"/>
              <w:bottom w:val="nil"/>
              <w:right w:val="nil"/>
            </w:tcBorders>
            <w:shd w:val="clear" w:color="auto" w:fill="auto"/>
            <w:noWrap/>
            <w:vAlign w:val="center"/>
            <w:hideMark/>
          </w:tcPr>
          <w:p w:rsidR="00F13D2E" w:rsidRPr="00C24253" w:rsidRDefault="00F13D2E" w:rsidP="00610DBA">
            <w:pPr>
              <w:jc w:val="left"/>
              <w:rPr>
                <w:rFonts w:cs="Arial"/>
                <w:sz w:val="16"/>
                <w:szCs w:val="16"/>
              </w:rPr>
            </w:pPr>
            <w:r w:rsidRPr="00C24253">
              <w:rPr>
                <w:rFonts w:cs="Arial"/>
                <w:sz w:val="16"/>
                <w:szCs w:val="16"/>
              </w:rPr>
              <w:t>Sčítací komisaři České pošty</w:t>
            </w:r>
          </w:p>
        </w:tc>
        <w:tc>
          <w:tcPr>
            <w:tcW w:w="1560" w:type="dxa"/>
            <w:tcBorders>
              <w:top w:val="nil"/>
              <w:left w:val="single" w:sz="4" w:space="0" w:color="auto"/>
              <w:bottom w:val="nil"/>
              <w:right w:val="single" w:sz="4" w:space="0" w:color="auto"/>
            </w:tcBorders>
            <w:shd w:val="clear" w:color="auto" w:fill="auto"/>
            <w:noWrap/>
            <w:vAlign w:val="center"/>
            <w:hideMark/>
          </w:tcPr>
          <w:p w:rsidR="00F13D2E" w:rsidRPr="00C24253" w:rsidRDefault="00F13D2E" w:rsidP="00610DBA">
            <w:pPr>
              <w:jc w:val="center"/>
              <w:rPr>
                <w:rFonts w:cs="Arial"/>
                <w:sz w:val="16"/>
                <w:szCs w:val="16"/>
              </w:rPr>
            </w:pPr>
            <w:r w:rsidRPr="00C24253">
              <w:rPr>
                <w:rFonts w:cs="Arial"/>
                <w:sz w:val="16"/>
                <w:szCs w:val="16"/>
              </w:rPr>
              <w:t>92,9</w:t>
            </w:r>
          </w:p>
        </w:tc>
        <w:tc>
          <w:tcPr>
            <w:tcW w:w="1240" w:type="dxa"/>
            <w:tcBorders>
              <w:top w:val="nil"/>
              <w:left w:val="nil"/>
              <w:bottom w:val="nil"/>
              <w:right w:val="single" w:sz="4" w:space="0" w:color="auto"/>
            </w:tcBorders>
            <w:shd w:val="clear" w:color="auto" w:fill="auto"/>
            <w:noWrap/>
            <w:vAlign w:val="center"/>
            <w:hideMark/>
          </w:tcPr>
          <w:p w:rsidR="00F13D2E" w:rsidRPr="00C24253" w:rsidRDefault="00F13D2E" w:rsidP="00610DBA">
            <w:pPr>
              <w:jc w:val="center"/>
              <w:rPr>
                <w:rFonts w:cs="Arial"/>
                <w:sz w:val="16"/>
                <w:szCs w:val="16"/>
              </w:rPr>
            </w:pPr>
            <w:r w:rsidRPr="00C24253">
              <w:rPr>
                <w:rFonts w:cs="Arial"/>
                <w:sz w:val="16"/>
                <w:szCs w:val="16"/>
              </w:rPr>
              <w:t>94,1</w:t>
            </w:r>
          </w:p>
        </w:tc>
        <w:tc>
          <w:tcPr>
            <w:tcW w:w="1240" w:type="dxa"/>
            <w:tcBorders>
              <w:top w:val="nil"/>
              <w:left w:val="nil"/>
              <w:bottom w:val="nil"/>
              <w:right w:val="single" w:sz="4" w:space="0" w:color="auto"/>
            </w:tcBorders>
            <w:shd w:val="clear" w:color="auto" w:fill="auto"/>
            <w:noWrap/>
            <w:vAlign w:val="center"/>
            <w:hideMark/>
          </w:tcPr>
          <w:p w:rsidR="00F13D2E" w:rsidRPr="00C24253" w:rsidRDefault="00F13D2E" w:rsidP="00610DBA">
            <w:pPr>
              <w:jc w:val="center"/>
              <w:rPr>
                <w:rFonts w:cs="Arial"/>
                <w:sz w:val="16"/>
                <w:szCs w:val="16"/>
              </w:rPr>
            </w:pPr>
            <w:r w:rsidRPr="00C24253">
              <w:rPr>
                <w:rFonts w:cs="Arial"/>
                <w:sz w:val="16"/>
                <w:szCs w:val="16"/>
              </w:rPr>
              <w:t>88,1</w:t>
            </w:r>
          </w:p>
        </w:tc>
        <w:tc>
          <w:tcPr>
            <w:tcW w:w="1240" w:type="dxa"/>
            <w:tcBorders>
              <w:top w:val="nil"/>
              <w:left w:val="nil"/>
              <w:bottom w:val="nil"/>
              <w:right w:val="single" w:sz="4" w:space="0" w:color="auto"/>
            </w:tcBorders>
            <w:shd w:val="clear" w:color="auto" w:fill="auto"/>
            <w:noWrap/>
            <w:vAlign w:val="center"/>
            <w:hideMark/>
          </w:tcPr>
          <w:p w:rsidR="00F13D2E" w:rsidRPr="00C24253" w:rsidRDefault="00F13D2E" w:rsidP="00610DBA">
            <w:pPr>
              <w:jc w:val="center"/>
              <w:rPr>
                <w:rFonts w:cs="Arial"/>
                <w:sz w:val="16"/>
                <w:szCs w:val="16"/>
              </w:rPr>
            </w:pPr>
            <w:r w:rsidRPr="00C24253">
              <w:rPr>
                <w:rFonts w:cs="Arial"/>
                <w:sz w:val="16"/>
                <w:szCs w:val="16"/>
              </w:rPr>
              <w:t>97,8</w:t>
            </w:r>
          </w:p>
        </w:tc>
      </w:tr>
      <w:tr w:rsidR="00F13D2E" w:rsidRPr="00C24253" w:rsidTr="00B875EE">
        <w:trPr>
          <w:trHeight w:val="340"/>
          <w:jc w:val="center"/>
        </w:trPr>
        <w:tc>
          <w:tcPr>
            <w:tcW w:w="2438" w:type="dxa"/>
            <w:tcBorders>
              <w:top w:val="nil"/>
              <w:left w:val="single" w:sz="4" w:space="0" w:color="auto"/>
              <w:right w:val="nil"/>
            </w:tcBorders>
            <w:shd w:val="clear" w:color="auto" w:fill="auto"/>
            <w:noWrap/>
            <w:vAlign w:val="center"/>
            <w:hideMark/>
          </w:tcPr>
          <w:p w:rsidR="00F13D2E" w:rsidRPr="00C24253" w:rsidRDefault="00F13D2E" w:rsidP="00610DBA">
            <w:pPr>
              <w:jc w:val="left"/>
              <w:rPr>
                <w:rFonts w:cs="Arial"/>
                <w:sz w:val="16"/>
                <w:szCs w:val="16"/>
              </w:rPr>
            </w:pPr>
            <w:r w:rsidRPr="00C24253">
              <w:rPr>
                <w:rFonts w:cs="Arial"/>
                <w:sz w:val="16"/>
                <w:szCs w:val="16"/>
              </w:rPr>
              <w:t>Sčítací komisaři ČSÚ</w:t>
            </w:r>
          </w:p>
        </w:tc>
        <w:tc>
          <w:tcPr>
            <w:tcW w:w="1560" w:type="dxa"/>
            <w:tcBorders>
              <w:top w:val="nil"/>
              <w:left w:val="single" w:sz="4" w:space="0" w:color="auto"/>
              <w:right w:val="single" w:sz="4" w:space="0" w:color="auto"/>
            </w:tcBorders>
            <w:shd w:val="clear" w:color="auto" w:fill="auto"/>
            <w:noWrap/>
            <w:vAlign w:val="center"/>
            <w:hideMark/>
          </w:tcPr>
          <w:p w:rsidR="00F13D2E" w:rsidRPr="00C24253" w:rsidRDefault="00F13D2E" w:rsidP="00610DBA">
            <w:pPr>
              <w:jc w:val="center"/>
              <w:rPr>
                <w:rFonts w:cs="Arial"/>
                <w:sz w:val="16"/>
                <w:szCs w:val="16"/>
              </w:rPr>
            </w:pPr>
            <w:r w:rsidRPr="00C24253">
              <w:rPr>
                <w:rFonts w:cs="Arial"/>
                <w:sz w:val="16"/>
                <w:szCs w:val="16"/>
              </w:rPr>
              <w:t>90,1</w:t>
            </w:r>
          </w:p>
        </w:tc>
        <w:tc>
          <w:tcPr>
            <w:tcW w:w="1240" w:type="dxa"/>
            <w:tcBorders>
              <w:top w:val="nil"/>
              <w:left w:val="nil"/>
              <w:right w:val="single" w:sz="4" w:space="0" w:color="auto"/>
            </w:tcBorders>
            <w:shd w:val="clear" w:color="auto" w:fill="auto"/>
            <w:noWrap/>
            <w:vAlign w:val="center"/>
            <w:hideMark/>
          </w:tcPr>
          <w:p w:rsidR="00F13D2E" w:rsidRPr="00C24253" w:rsidRDefault="00F13D2E" w:rsidP="00610DBA">
            <w:pPr>
              <w:jc w:val="center"/>
              <w:rPr>
                <w:rFonts w:cs="Arial"/>
                <w:sz w:val="16"/>
                <w:szCs w:val="16"/>
              </w:rPr>
            </w:pPr>
            <w:r w:rsidRPr="00C24253">
              <w:rPr>
                <w:rFonts w:cs="Arial"/>
                <w:sz w:val="16"/>
                <w:szCs w:val="16"/>
              </w:rPr>
              <w:t>89,9</w:t>
            </w:r>
          </w:p>
        </w:tc>
        <w:tc>
          <w:tcPr>
            <w:tcW w:w="1240" w:type="dxa"/>
            <w:tcBorders>
              <w:top w:val="nil"/>
              <w:left w:val="nil"/>
              <w:right w:val="single" w:sz="4" w:space="0" w:color="auto"/>
            </w:tcBorders>
            <w:shd w:val="clear" w:color="auto" w:fill="auto"/>
            <w:noWrap/>
            <w:vAlign w:val="center"/>
            <w:hideMark/>
          </w:tcPr>
          <w:p w:rsidR="00F13D2E" w:rsidRPr="00C24253" w:rsidRDefault="00F13D2E" w:rsidP="00610DBA">
            <w:pPr>
              <w:jc w:val="center"/>
              <w:rPr>
                <w:rFonts w:cs="Arial"/>
                <w:sz w:val="16"/>
                <w:szCs w:val="16"/>
              </w:rPr>
            </w:pPr>
            <w:r w:rsidRPr="00C24253">
              <w:rPr>
                <w:rFonts w:cs="Arial"/>
                <w:sz w:val="16"/>
                <w:szCs w:val="16"/>
              </w:rPr>
              <w:t>76,7</w:t>
            </w:r>
          </w:p>
        </w:tc>
        <w:tc>
          <w:tcPr>
            <w:tcW w:w="1240" w:type="dxa"/>
            <w:tcBorders>
              <w:top w:val="nil"/>
              <w:left w:val="nil"/>
              <w:right w:val="single" w:sz="4" w:space="0" w:color="auto"/>
            </w:tcBorders>
            <w:shd w:val="clear" w:color="auto" w:fill="auto"/>
            <w:noWrap/>
            <w:vAlign w:val="center"/>
            <w:hideMark/>
          </w:tcPr>
          <w:p w:rsidR="00F13D2E" w:rsidRPr="00C24253" w:rsidRDefault="00F13D2E" w:rsidP="00610DBA">
            <w:pPr>
              <w:jc w:val="center"/>
              <w:rPr>
                <w:rFonts w:cs="Arial"/>
                <w:sz w:val="16"/>
                <w:szCs w:val="16"/>
              </w:rPr>
            </w:pPr>
            <w:r w:rsidRPr="00C24253">
              <w:rPr>
                <w:rFonts w:cs="Arial"/>
                <w:sz w:val="16"/>
                <w:szCs w:val="16"/>
              </w:rPr>
              <w:t>98,7</w:t>
            </w:r>
          </w:p>
        </w:tc>
      </w:tr>
      <w:tr w:rsidR="00096A9F" w:rsidRPr="00C24253" w:rsidTr="002E4032">
        <w:trPr>
          <w:trHeight w:val="283"/>
          <w:jc w:val="center"/>
        </w:trPr>
        <w:tc>
          <w:tcPr>
            <w:tcW w:w="2438" w:type="dxa"/>
            <w:tcBorders>
              <w:top w:val="single" w:sz="4" w:space="0" w:color="auto"/>
              <w:left w:val="single" w:sz="4" w:space="0" w:color="auto"/>
              <w:bottom w:val="nil"/>
              <w:right w:val="nil"/>
            </w:tcBorders>
            <w:shd w:val="clear" w:color="auto" w:fill="auto"/>
            <w:noWrap/>
            <w:vAlign w:val="center"/>
            <w:hideMark/>
          </w:tcPr>
          <w:p w:rsidR="00096A9F" w:rsidRPr="00C24253" w:rsidRDefault="00F13D2E" w:rsidP="00F13D2E">
            <w:pPr>
              <w:jc w:val="left"/>
              <w:rPr>
                <w:rFonts w:cs="Arial"/>
                <w:sz w:val="16"/>
                <w:szCs w:val="16"/>
              </w:rPr>
            </w:pPr>
            <w:r w:rsidRPr="00C24253">
              <w:rPr>
                <w:rFonts w:cs="Arial"/>
                <w:sz w:val="16"/>
                <w:szCs w:val="16"/>
              </w:rPr>
              <w:t>Sčítací komisaři</w:t>
            </w:r>
          </w:p>
        </w:tc>
        <w:tc>
          <w:tcPr>
            <w:tcW w:w="1560" w:type="dxa"/>
            <w:tcBorders>
              <w:top w:val="single" w:sz="4" w:space="0" w:color="auto"/>
              <w:left w:val="single" w:sz="4" w:space="0" w:color="auto"/>
              <w:bottom w:val="nil"/>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95,3</w:t>
            </w:r>
          </w:p>
        </w:tc>
        <w:tc>
          <w:tcPr>
            <w:tcW w:w="1240" w:type="dxa"/>
            <w:tcBorders>
              <w:top w:val="single" w:sz="4" w:space="0" w:color="auto"/>
              <w:left w:val="nil"/>
              <w:bottom w:val="nil"/>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96,7</w:t>
            </w:r>
          </w:p>
        </w:tc>
        <w:tc>
          <w:tcPr>
            <w:tcW w:w="1240" w:type="dxa"/>
            <w:tcBorders>
              <w:top w:val="single" w:sz="4" w:space="0" w:color="auto"/>
              <w:left w:val="nil"/>
              <w:bottom w:val="nil"/>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93,1</w:t>
            </w:r>
          </w:p>
        </w:tc>
        <w:tc>
          <w:tcPr>
            <w:tcW w:w="1240" w:type="dxa"/>
            <w:tcBorders>
              <w:top w:val="single" w:sz="4" w:space="0" w:color="auto"/>
              <w:left w:val="nil"/>
              <w:bottom w:val="nil"/>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96,2</w:t>
            </w:r>
          </w:p>
        </w:tc>
      </w:tr>
      <w:tr w:rsidR="00096A9F" w:rsidRPr="00C24253" w:rsidTr="002E4032">
        <w:trPr>
          <w:trHeight w:val="283"/>
          <w:jc w:val="center"/>
        </w:trPr>
        <w:tc>
          <w:tcPr>
            <w:tcW w:w="2438" w:type="dxa"/>
            <w:tcBorders>
              <w:top w:val="nil"/>
              <w:left w:val="single" w:sz="4" w:space="0" w:color="auto"/>
              <w:right w:val="nil"/>
            </w:tcBorders>
            <w:shd w:val="clear" w:color="auto" w:fill="auto"/>
            <w:noWrap/>
            <w:vAlign w:val="center"/>
            <w:hideMark/>
          </w:tcPr>
          <w:p w:rsidR="00096A9F" w:rsidRPr="00C24253" w:rsidRDefault="00096A9F" w:rsidP="00F13D2E">
            <w:pPr>
              <w:jc w:val="left"/>
              <w:rPr>
                <w:rFonts w:cs="Arial"/>
                <w:sz w:val="16"/>
                <w:szCs w:val="16"/>
              </w:rPr>
            </w:pPr>
            <w:r w:rsidRPr="00C24253">
              <w:rPr>
                <w:rFonts w:cs="Arial"/>
                <w:sz w:val="16"/>
                <w:szCs w:val="16"/>
              </w:rPr>
              <w:t>P. O. BOX</w:t>
            </w:r>
          </w:p>
        </w:tc>
        <w:tc>
          <w:tcPr>
            <w:tcW w:w="1560" w:type="dxa"/>
            <w:tcBorders>
              <w:top w:val="nil"/>
              <w:left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90,6</w:t>
            </w:r>
          </w:p>
        </w:tc>
        <w:tc>
          <w:tcPr>
            <w:tcW w:w="1240" w:type="dxa"/>
            <w:tcBorders>
              <w:top w:val="nil"/>
              <w:left w:val="nil"/>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91,5</w:t>
            </w:r>
          </w:p>
        </w:tc>
        <w:tc>
          <w:tcPr>
            <w:tcW w:w="1240" w:type="dxa"/>
            <w:tcBorders>
              <w:top w:val="nil"/>
              <w:left w:val="nil"/>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85,0</w:t>
            </w:r>
          </w:p>
        </w:tc>
        <w:tc>
          <w:tcPr>
            <w:tcW w:w="1240" w:type="dxa"/>
            <w:tcBorders>
              <w:top w:val="nil"/>
              <w:left w:val="nil"/>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97,9</w:t>
            </w:r>
          </w:p>
        </w:tc>
      </w:tr>
      <w:tr w:rsidR="00096A9F" w:rsidRPr="00C24253" w:rsidTr="002E4032">
        <w:trPr>
          <w:trHeight w:val="283"/>
          <w:jc w:val="center"/>
        </w:trPr>
        <w:tc>
          <w:tcPr>
            <w:tcW w:w="2438" w:type="dxa"/>
            <w:tcBorders>
              <w:top w:val="nil"/>
              <w:left w:val="single" w:sz="4" w:space="0" w:color="auto"/>
              <w:bottom w:val="single" w:sz="4" w:space="0" w:color="auto"/>
              <w:right w:val="nil"/>
            </w:tcBorders>
            <w:shd w:val="clear" w:color="auto" w:fill="auto"/>
            <w:noWrap/>
            <w:vAlign w:val="center"/>
            <w:hideMark/>
          </w:tcPr>
          <w:p w:rsidR="00096A9F" w:rsidRPr="00C24253" w:rsidRDefault="00096A9F" w:rsidP="00F13D2E">
            <w:pPr>
              <w:jc w:val="left"/>
              <w:rPr>
                <w:rFonts w:cs="Arial"/>
                <w:sz w:val="16"/>
                <w:szCs w:val="16"/>
              </w:rPr>
            </w:pPr>
            <w:r w:rsidRPr="00C24253">
              <w:rPr>
                <w:rFonts w:cs="Arial"/>
                <w:sz w:val="16"/>
                <w:szCs w:val="16"/>
              </w:rPr>
              <w:t>Elektronicky</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97,7</w:t>
            </w:r>
          </w:p>
        </w:tc>
        <w:tc>
          <w:tcPr>
            <w:tcW w:w="1240" w:type="dxa"/>
            <w:tcBorders>
              <w:top w:val="nil"/>
              <w:left w:val="nil"/>
              <w:bottom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99,3</w:t>
            </w:r>
          </w:p>
        </w:tc>
        <w:tc>
          <w:tcPr>
            <w:tcW w:w="1240" w:type="dxa"/>
            <w:tcBorders>
              <w:top w:val="nil"/>
              <w:left w:val="nil"/>
              <w:bottom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92,4</w:t>
            </w:r>
          </w:p>
        </w:tc>
        <w:tc>
          <w:tcPr>
            <w:tcW w:w="1240" w:type="dxa"/>
            <w:tcBorders>
              <w:top w:val="nil"/>
              <w:left w:val="nil"/>
              <w:bottom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sz w:val="16"/>
                <w:szCs w:val="16"/>
              </w:rPr>
            </w:pPr>
            <w:r w:rsidRPr="00C24253">
              <w:rPr>
                <w:rFonts w:cs="Arial"/>
                <w:sz w:val="16"/>
                <w:szCs w:val="16"/>
              </w:rPr>
              <w:t>99,8</w:t>
            </w:r>
          </w:p>
        </w:tc>
      </w:tr>
      <w:tr w:rsidR="00096A9F" w:rsidRPr="00C24253" w:rsidTr="00B875EE">
        <w:trPr>
          <w:trHeight w:val="454"/>
          <w:jc w:val="center"/>
        </w:trPr>
        <w:tc>
          <w:tcPr>
            <w:tcW w:w="2438" w:type="dxa"/>
            <w:tcBorders>
              <w:top w:val="single" w:sz="4" w:space="0" w:color="auto"/>
              <w:left w:val="single" w:sz="4" w:space="0" w:color="auto"/>
              <w:bottom w:val="single" w:sz="4" w:space="0" w:color="auto"/>
              <w:right w:val="nil"/>
            </w:tcBorders>
            <w:shd w:val="clear" w:color="auto" w:fill="auto"/>
            <w:noWrap/>
            <w:vAlign w:val="center"/>
            <w:hideMark/>
          </w:tcPr>
          <w:p w:rsidR="00096A9F" w:rsidRPr="00C24253" w:rsidRDefault="00096A9F" w:rsidP="00F13D2E">
            <w:pPr>
              <w:jc w:val="left"/>
              <w:rPr>
                <w:rFonts w:cs="Arial"/>
                <w:b/>
                <w:sz w:val="16"/>
                <w:szCs w:val="16"/>
              </w:rPr>
            </w:pPr>
            <w:r w:rsidRPr="00C24253">
              <w:rPr>
                <w:rFonts w:cs="Arial"/>
                <w:b/>
                <w:sz w:val="16"/>
                <w:szCs w:val="16"/>
              </w:rPr>
              <w:t>Celkem</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b/>
                <w:sz w:val="16"/>
                <w:szCs w:val="16"/>
              </w:rPr>
            </w:pPr>
            <w:r w:rsidRPr="00C24253">
              <w:rPr>
                <w:rFonts w:cs="Arial"/>
                <w:b/>
                <w:sz w:val="16"/>
                <w:szCs w:val="16"/>
              </w:rPr>
              <w:t>92,9</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b/>
                <w:sz w:val="16"/>
                <w:szCs w:val="16"/>
              </w:rPr>
            </w:pPr>
            <w:r w:rsidRPr="00C24253">
              <w:rPr>
                <w:rFonts w:cs="Arial"/>
                <w:b/>
                <w:sz w:val="16"/>
                <w:szCs w:val="16"/>
              </w:rPr>
              <w:t>94,0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b/>
                <w:sz w:val="16"/>
                <w:szCs w:val="16"/>
              </w:rPr>
            </w:pPr>
            <w:r w:rsidRPr="00C24253">
              <w:rPr>
                <w:rFonts w:cs="Arial"/>
                <w:b/>
                <w:sz w:val="16"/>
                <w:szCs w:val="16"/>
              </w:rPr>
              <w:t>88,0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096A9F" w:rsidRPr="00C24253" w:rsidRDefault="00096A9F" w:rsidP="004A6C50">
            <w:pPr>
              <w:jc w:val="center"/>
              <w:rPr>
                <w:rFonts w:cs="Arial"/>
                <w:b/>
                <w:sz w:val="16"/>
                <w:szCs w:val="16"/>
              </w:rPr>
            </w:pPr>
            <w:r w:rsidRPr="00C24253">
              <w:rPr>
                <w:rFonts w:cs="Arial"/>
                <w:b/>
                <w:sz w:val="16"/>
                <w:szCs w:val="16"/>
              </w:rPr>
              <w:t>97,9</w:t>
            </w:r>
          </w:p>
        </w:tc>
      </w:tr>
    </w:tbl>
    <w:p w:rsidR="00096A9F" w:rsidRPr="00C24253" w:rsidRDefault="00096A9F" w:rsidP="00664139">
      <w:pPr>
        <w:spacing w:before="360" w:after="120"/>
        <w:ind w:left="340"/>
        <w:rPr>
          <w:sz w:val="20"/>
          <w:szCs w:val="20"/>
        </w:rPr>
      </w:pPr>
      <w:r w:rsidRPr="00C24253">
        <w:rPr>
          <w:sz w:val="20"/>
          <w:szCs w:val="20"/>
        </w:rPr>
        <w:t xml:space="preserve">Velký vliv na vyplněnost formuláře měl kanál jejich sběru. Nejvíce vyplněné byly </w:t>
      </w:r>
      <w:r w:rsidR="004F31B0" w:rsidRPr="00C24253">
        <w:rPr>
          <w:sz w:val="20"/>
          <w:szCs w:val="20"/>
        </w:rPr>
        <w:t>sčítací formuláře</w:t>
      </w:r>
      <w:r w:rsidRPr="00C24253">
        <w:rPr>
          <w:sz w:val="20"/>
          <w:szCs w:val="20"/>
        </w:rPr>
        <w:t xml:space="preserve"> odevzdané elektronicky, a to zejména díky automatickým kontrolám. Více vyplněné byly většinou i formuláře sebrané prostřednictvím SK. </w:t>
      </w:r>
    </w:p>
    <w:p w:rsidR="00096A9F" w:rsidRPr="00C24253" w:rsidRDefault="00096A9F" w:rsidP="004A0179">
      <w:pPr>
        <w:spacing w:after="120"/>
        <w:ind w:left="340"/>
        <w:rPr>
          <w:sz w:val="20"/>
          <w:szCs w:val="20"/>
        </w:rPr>
      </w:pPr>
      <w:r w:rsidRPr="00C24253">
        <w:rPr>
          <w:sz w:val="20"/>
          <w:szCs w:val="20"/>
        </w:rPr>
        <w:t xml:space="preserve">Diferencujícím faktorem u RSF bylo i místo distribuce. Odlišné hodnoty RSF v jednotlivých krajích lze vysvětlit různou strukturou způsobů sběru formulářů. Například ve Zlínském kraji a na Vysočině byla míra vyplnění nejvyšší (94 %), přičemž podíl formulářů sebraných prostřednictvím SK a elektronicky zde byl nejvyšší. Naopak nejméně vyplněné byly formuláře z kraje Karlovarského a Ústeckého (91 %), které měly jeden z nejvyšších podílů sběru přes P. O. BOX. </w:t>
      </w:r>
    </w:p>
    <w:p w:rsidR="00096A9F" w:rsidRPr="00C24253" w:rsidRDefault="00096A9F" w:rsidP="00B875EE">
      <w:pPr>
        <w:spacing w:after="360"/>
        <w:ind w:left="340"/>
        <w:rPr>
          <w:sz w:val="20"/>
          <w:szCs w:val="20"/>
        </w:rPr>
      </w:pPr>
      <w:r w:rsidRPr="00C24253">
        <w:rPr>
          <w:sz w:val="20"/>
          <w:szCs w:val="20"/>
        </w:rPr>
        <w:t xml:space="preserve">Míra vyplnění </w:t>
      </w:r>
      <w:r w:rsidR="004F31B0" w:rsidRPr="00C24253">
        <w:rPr>
          <w:sz w:val="20"/>
          <w:szCs w:val="20"/>
        </w:rPr>
        <w:t>sčítacích formulářů</w:t>
      </w:r>
      <w:r w:rsidRPr="00C24253">
        <w:rPr>
          <w:sz w:val="20"/>
          <w:szCs w:val="20"/>
        </w:rPr>
        <w:t xml:space="preserve"> se podle pohlaví, věku a rodinného stavu nelišila téměř vůbec; zvyšovala se ale s úrovní dosaženého vzděláním: respondenti se základním vzděláním vyplnili </w:t>
      </w:r>
      <w:r w:rsidR="004F31B0" w:rsidRPr="00C24253">
        <w:rPr>
          <w:sz w:val="20"/>
          <w:szCs w:val="20"/>
        </w:rPr>
        <w:t xml:space="preserve">sčítací formuláře </w:t>
      </w:r>
      <w:r w:rsidRPr="00C24253">
        <w:rPr>
          <w:sz w:val="20"/>
          <w:szCs w:val="20"/>
        </w:rPr>
        <w:t>z</w:t>
      </w:r>
      <w:r w:rsidR="006D39B0">
        <w:rPr>
          <w:sz w:val="20"/>
          <w:szCs w:val="20"/>
        </w:rPr>
        <w:t> </w:t>
      </w:r>
      <w:r w:rsidRPr="00C24253">
        <w:rPr>
          <w:sz w:val="20"/>
          <w:szCs w:val="20"/>
        </w:rPr>
        <w:t>92</w:t>
      </w:r>
      <w:r w:rsidR="006D39B0">
        <w:rPr>
          <w:sz w:val="20"/>
          <w:szCs w:val="20"/>
        </w:rPr>
        <w:t>,</w:t>
      </w:r>
      <w:r w:rsidRPr="00C24253">
        <w:rPr>
          <w:sz w:val="20"/>
          <w:szCs w:val="20"/>
        </w:rPr>
        <w:t>9 %, s úplným středoškolským vzděláním z 96,6 % a s vysokoškolským vzděláním z 98 %. Zaměstnaní a ekonomicky neaktivní vyplňovali formulář přibližně stejně kvalitně, zatímco nezaměstnaní měli hodnoty indikátoru nižší. Částečně lze zřejmě tento jev vysvětlit skrytým faktorem vzdělanosti, protože vyšší míry nezaměstnanosti dosahují občané s nižším vzděláním.</w:t>
      </w:r>
    </w:p>
    <w:p w:rsidR="00096A9F" w:rsidRPr="00C24253" w:rsidRDefault="00096A9F" w:rsidP="004A0179">
      <w:pPr>
        <w:pStyle w:val="odrkybezmezer"/>
      </w:pPr>
      <w:r w:rsidRPr="00C24253">
        <w:rPr>
          <w:b/>
        </w:rPr>
        <w:t>Indikátor MRI</w:t>
      </w:r>
      <w:r w:rsidRPr="00C24253">
        <w:t xml:space="preserve"> – míra response položky zjišťuje, </w:t>
      </w:r>
      <w:r w:rsidRPr="00C24253">
        <w:rPr>
          <w:b/>
        </w:rPr>
        <w:t>kolik formulářů obsahovalo využitelnou (smysluplnou) odpověď na otázku,</w:t>
      </w:r>
      <w:r w:rsidRPr="00C24253">
        <w:t xml:space="preserve"> která měla být zodpovězena.</w:t>
      </w:r>
    </w:p>
    <w:p w:rsidR="00096A9F" w:rsidRPr="00C24253" w:rsidRDefault="00B3327E" w:rsidP="00B3327E">
      <w:pPr>
        <w:spacing w:after="120"/>
        <w:jc w:val="center"/>
        <w:rPr>
          <w:b/>
          <w:sz w:val="20"/>
          <w:szCs w:val="20"/>
        </w:rPr>
      </w:pPr>
      <w:r w:rsidRPr="00C24253">
        <w:rPr>
          <w:b/>
          <w:sz w:val="20"/>
          <w:szCs w:val="20"/>
        </w:rPr>
        <w:t xml:space="preserve">Indikátor </w:t>
      </w:r>
      <w:r w:rsidR="00096A9F" w:rsidRPr="00C24253">
        <w:rPr>
          <w:b/>
          <w:sz w:val="20"/>
          <w:szCs w:val="20"/>
        </w:rPr>
        <w:t xml:space="preserve">MRI </w:t>
      </w:r>
      <w:r w:rsidRPr="00C24253">
        <w:rPr>
          <w:b/>
          <w:sz w:val="20"/>
          <w:szCs w:val="20"/>
        </w:rPr>
        <w:t xml:space="preserve">– počet formulářů s využitelnou odpovědí </w:t>
      </w:r>
      <w:r w:rsidR="00096A9F" w:rsidRPr="00C24253">
        <w:rPr>
          <w:b/>
          <w:sz w:val="20"/>
          <w:szCs w:val="20"/>
        </w:rPr>
        <w:t>a podle diferencujícího faktoru v %</w:t>
      </w:r>
    </w:p>
    <w:tbl>
      <w:tblPr>
        <w:tblW w:w="8726" w:type="dxa"/>
        <w:jc w:val="center"/>
        <w:tblCellMar>
          <w:left w:w="70" w:type="dxa"/>
          <w:right w:w="70" w:type="dxa"/>
        </w:tblCellMar>
        <w:tblLook w:val="04A0"/>
      </w:tblPr>
      <w:tblGrid>
        <w:gridCol w:w="1857"/>
        <w:gridCol w:w="1199"/>
        <w:gridCol w:w="5670"/>
      </w:tblGrid>
      <w:tr w:rsidR="004A0179" w:rsidRPr="00C24253" w:rsidTr="00995B12">
        <w:trPr>
          <w:trHeight w:val="510"/>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A9F" w:rsidRPr="00C24253" w:rsidRDefault="004F31B0" w:rsidP="00B51B1F">
            <w:pPr>
              <w:jc w:val="left"/>
              <w:rPr>
                <w:rFonts w:cs="Arial"/>
                <w:sz w:val="16"/>
                <w:szCs w:val="16"/>
              </w:rPr>
            </w:pPr>
            <w:r w:rsidRPr="00C24253">
              <w:rPr>
                <w:rFonts w:cs="Arial"/>
                <w:sz w:val="16"/>
                <w:szCs w:val="16"/>
              </w:rPr>
              <w:t>Údaj</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096A9F" w:rsidRPr="00C24253" w:rsidRDefault="00096A9F" w:rsidP="00B51B1F">
            <w:pPr>
              <w:jc w:val="center"/>
              <w:rPr>
                <w:rFonts w:cs="Arial"/>
                <w:sz w:val="16"/>
                <w:szCs w:val="16"/>
              </w:rPr>
            </w:pPr>
            <w:r w:rsidRPr="00C24253">
              <w:rPr>
                <w:rFonts w:cs="Arial"/>
                <w:sz w:val="16"/>
                <w:szCs w:val="16"/>
              </w:rPr>
              <w:t>MRI za všechny SLO</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096A9F" w:rsidRPr="00C24253" w:rsidRDefault="00096A9F" w:rsidP="007B2C10">
            <w:pPr>
              <w:jc w:val="left"/>
              <w:rPr>
                <w:rFonts w:cs="Arial"/>
                <w:sz w:val="16"/>
                <w:szCs w:val="16"/>
              </w:rPr>
            </w:pPr>
            <w:r w:rsidRPr="00C24253">
              <w:rPr>
                <w:rFonts w:cs="Arial"/>
                <w:sz w:val="16"/>
                <w:szCs w:val="16"/>
              </w:rPr>
              <w:t>MRI s diferencujícím faktorem</w:t>
            </w:r>
          </w:p>
        </w:tc>
      </w:tr>
      <w:tr w:rsidR="004A0179" w:rsidRPr="00C24253" w:rsidTr="00B51B1F">
        <w:trPr>
          <w:trHeight w:val="510"/>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A9F" w:rsidRPr="00C24253" w:rsidRDefault="00096A9F" w:rsidP="004A0179">
            <w:pPr>
              <w:jc w:val="left"/>
              <w:rPr>
                <w:rFonts w:cs="Arial"/>
                <w:sz w:val="16"/>
                <w:szCs w:val="16"/>
              </w:rPr>
            </w:pPr>
            <w:r w:rsidRPr="00C24253">
              <w:rPr>
                <w:rFonts w:cs="Arial"/>
                <w:sz w:val="16"/>
                <w:szCs w:val="16"/>
              </w:rPr>
              <w:t>Bydliště v rozhodný okamžik</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A9F" w:rsidRPr="00C24253" w:rsidRDefault="00096A9F" w:rsidP="00096A9F">
            <w:pPr>
              <w:jc w:val="center"/>
              <w:rPr>
                <w:rFonts w:cs="Arial"/>
                <w:sz w:val="16"/>
                <w:szCs w:val="16"/>
              </w:rPr>
            </w:pPr>
            <w:r w:rsidRPr="00C24253">
              <w:rPr>
                <w:rFonts w:cs="Arial"/>
                <w:sz w:val="16"/>
                <w:szCs w:val="16"/>
              </w:rPr>
              <w:t>86,6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6A9F" w:rsidRPr="00C24253" w:rsidRDefault="00096A9F" w:rsidP="004A0179">
            <w:pPr>
              <w:jc w:val="left"/>
              <w:rPr>
                <w:rFonts w:cs="Arial"/>
                <w:sz w:val="16"/>
                <w:szCs w:val="16"/>
              </w:rPr>
            </w:pPr>
            <w:r w:rsidRPr="00C24253">
              <w:rPr>
                <w:rFonts w:cs="Arial"/>
                <w:sz w:val="16"/>
                <w:szCs w:val="16"/>
              </w:rPr>
              <w:t>místo distribuce (Karlovarský k. – 81,1; Zlínský k. – 89,3), vzdělání (základní – 82,0; vysokoškolské – 94,0)</w:t>
            </w:r>
          </w:p>
        </w:tc>
      </w:tr>
      <w:tr w:rsidR="00B51B1F" w:rsidRPr="00C24253" w:rsidTr="00B51B1F">
        <w:trPr>
          <w:trHeight w:val="510"/>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75311A">
            <w:pPr>
              <w:jc w:val="left"/>
              <w:rPr>
                <w:rFonts w:cs="Arial"/>
                <w:sz w:val="16"/>
                <w:szCs w:val="16"/>
              </w:rPr>
            </w:pPr>
            <w:r w:rsidRPr="00C24253">
              <w:rPr>
                <w:rFonts w:cs="Arial"/>
                <w:sz w:val="16"/>
                <w:szCs w:val="16"/>
              </w:rPr>
              <w:t>Národnost</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75311A">
            <w:pPr>
              <w:jc w:val="center"/>
              <w:rPr>
                <w:rFonts w:cs="Arial"/>
                <w:sz w:val="16"/>
                <w:szCs w:val="16"/>
              </w:rPr>
            </w:pPr>
            <w:r w:rsidRPr="00C24253">
              <w:rPr>
                <w:rFonts w:cs="Arial"/>
                <w:sz w:val="16"/>
                <w:szCs w:val="16"/>
              </w:rPr>
              <w:t>77,1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75311A">
            <w:pPr>
              <w:jc w:val="left"/>
              <w:rPr>
                <w:rFonts w:cs="Arial"/>
                <w:sz w:val="16"/>
                <w:szCs w:val="16"/>
              </w:rPr>
            </w:pPr>
            <w:r w:rsidRPr="00C24253">
              <w:rPr>
                <w:rFonts w:cs="Arial"/>
                <w:sz w:val="16"/>
                <w:szCs w:val="16"/>
              </w:rPr>
              <w:t>věk (mladší a střední – 73,6; 65 a více – 83,0), vzdělání (základní – 75,7; vysokoškolské – 84,6)</w:t>
            </w:r>
          </w:p>
        </w:tc>
      </w:tr>
      <w:tr w:rsidR="00B51B1F" w:rsidRPr="00C24253" w:rsidTr="00B51B1F">
        <w:trPr>
          <w:trHeight w:val="510"/>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4A0179">
            <w:pPr>
              <w:jc w:val="left"/>
              <w:rPr>
                <w:rFonts w:cs="Arial"/>
                <w:sz w:val="16"/>
                <w:szCs w:val="16"/>
              </w:rPr>
            </w:pPr>
            <w:r w:rsidRPr="00C24253">
              <w:rPr>
                <w:rFonts w:cs="Arial"/>
                <w:sz w:val="16"/>
                <w:szCs w:val="16"/>
              </w:rPr>
              <w:t>Náboženská víra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096A9F">
            <w:pPr>
              <w:jc w:val="center"/>
              <w:rPr>
                <w:rFonts w:cs="Arial"/>
                <w:sz w:val="16"/>
                <w:szCs w:val="16"/>
              </w:rPr>
            </w:pPr>
            <w:r w:rsidRPr="00C24253">
              <w:rPr>
                <w:rFonts w:cs="Arial"/>
                <w:sz w:val="16"/>
                <w:szCs w:val="16"/>
              </w:rPr>
              <w:t>61,5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4A0179">
            <w:pPr>
              <w:jc w:val="left"/>
              <w:rPr>
                <w:rFonts w:cs="Arial"/>
                <w:sz w:val="16"/>
                <w:szCs w:val="16"/>
              </w:rPr>
            </w:pPr>
            <w:r w:rsidRPr="00C24253">
              <w:rPr>
                <w:rFonts w:cs="Arial"/>
                <w:sz w:val="16"/>
                <w:szCs w:val="16"/>
              </w:rPr>
              <w:t>místo distribuce (Jihočeský k. – 57,4; Zlínský k. – 68,1), věk (do 14 let – 54,7; 65 a více – 69,3), vzdělání (základní – 60,8; vysokoškolské – 72,3)</w:t>
            </w:r>
          </w:p>
        </w:tc>
      </w:tr>
      <w:tr w:rsidR="00B51B1F" w:rsidRPr="00C24253" w:rsidTr="00B875EE">
        <w:trPr>
          <w:trHeight w:val="397"/>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4A0179">
            <w:pPr>
              <w:jc w:val="left"/>
              <w:rPr>
                <w:rFonts w:cs="Arial"/>
                <w:sz w:val="16"/>
                <w:szCs w:val="16"/>
              </w:rPr>
            </w:pPr>
            <w:r w:rsidRPr="00C24253">
              <w:rPr>
                <w:rFonts w:cs="Arial"/>
                <w:sz w:val="16"/>
                <w:szCs w:val="16"/>
              </w:rPr>
              <w:t>Nejvyšší ukončené vzdělání</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096A9F">
            <w:pPr>
              <w:jc w:val="center"/>
              <w:rPr>
                <w:rFonts w:cs="Arial"/>
                <w:sz w:val="16"/>
                <w:szCs w:val="16"/>
              </w:rPr>
            </w:pPr>
            <w:r w:rsidRPr="00C24253">
              <w:rPr>
                <w:rFonts w:cs="Arial"/>
                <w:sz w:val="16"/>
                <w:szCs w:val="16"/>
              </w:rPr>
              <w:t>98,1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1B1F" w:rsidRPr="00C24253" w:rsidRDefault="00B51B1F" w:rsidP="004A0179">
            <w:pPr>
              <w:jc w:val="left"/>
              <w:rPr>
                <w:rFonts w:cs="Arial"/>
                <w:sz w:val="16"/>
                <w:szCs w:val="16"/>
              </w:rPr>
            </w:pPr>
            <w:r w:rsidRPr="00C24253">
              <w:rPr>
                <w:rFonts w:cs="Arial"/>
                <w:sz w:val="16"/>
                <w:szCs w:val="16"/>
              </w:rPr>
              <w:t>bez výrazného vlivu faktorů</w:t>
            </w:r>
          </w:p>
        </w:tc>
      </w:tr>
      <w:tr w:rsidR="006027A7" w:rsidRPr="00C24253" w:rsidTr="00B875EE">
        <w:trPr>
          <w:trHeight w:val="397"/>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9D0488">
            <w:pPr>
              <w:jc w:val="left"/>
              <w:rPr>
                <w:rFonts w:cs="Arial"/>
                <w:sz w:val="16"/>
                <w:szCs w:val="16"/>
              </w:rPr>
            </w:pPr>
            <w:r w:rsidRPr="00C24253">
              <w:rPr>
                <w:rFonts w:cs="Arial"/>
                <w:sz w:val="16"/>
                <w:szCs w:val="16"/>
              </w:rPr>
              <w:t>Obor vzdělání</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9D0488">
            <w:pPr>
              <w:jc w:val="center"/>
              <w:rPr>
                <w:rFonts w:cs="Arial"/>
                <w:sz w:val="16"/>
                <w:szCs w:val="16"/>
              </w:rPr>
            </w:pPr>
            <w:r w:rsidRPr="00C24253">
              <w:rPr>
                <w:rFonts w:cs="Arial"/>
                <w:sz w:val="16"/>
                <w:szCs w:val="16"/>
              </w:rPr>
              <w:t>89,8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9D0488">
            <w:pPr>
              <w:jc w:val="left"/>
              <w:rPr>
                <w:rFonts w:cs="Arial"/>
                <w:sz w:val="16"/>
                <w:szCs w:val="16"/>
              </w:rPr>
            </w:pPr>
            <w:r w:rsidRPr="00C24253">
              <w:rPr>
                <w:rFonts w:cs="Arial"/>
                <w:sz w:val="16"/>
                <w:szCs w:val="16"/>
              </w:rPr>
              <w:t>vzdělání (střední – 86,4; vysokoškolské – 98,1)</w:t>
            </w:r>
          </w:p>
        </w:tc>
      </w:tr>
      <w:tr w:rsidR="006027A7" w:rsidRPr="00C24253" w:rsidTr="00B875EE">
        <w:trPr>
          <w:trHeight w:val="397"/>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9D0488">
            <w:pPr>
              <w:jc w:val="left"/>
              <w:rPr>
                <w:rFonts w:cs="Arial"/>
                <w:sz w:val="16"/>
                <w:szCs w:val="16"/>
              </w:rPr>
            </w:pPr>
            <w:r w:rsidRPr="00C24253">
              <w:rPr>
                <w:rFonts w:cs="Arial"/>
                <w:sz w:val="16"/>
                <w:szCs w:val="16"/>
              </w:rPr>
              <w:t>Ekonomická aktivita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9D0488">
            <w:pPr>
              <w:jc w:val="center"/>
              <w:rPr>
                <w:rFonts w:cs="Arial"/>
                <w:sz w:val="16"/>
                <w:szCs w:val="16"/>
              </w:rPr>
            </w:pPr>
            <w:r w:rsidRPr="00C24253">
              <w:rPr>
                <w:rFonts w:cs="Arial"/>
                <w:sz w:val="16"/>
                <w:szCs w:val="16"/>
              </w:rPr>
              <w:t>97,1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9D0488">
            <w:pPr>
              <w:jc w:val="left"/>
              <w:rPr>
                <w:rFonts w:cs="Arial"/>
                <w:sz w:val="16"/>
                <w:szCs w:val="16"/>
              </w:rPr>
            </w:pPr>
            <w:r w:rsidRPr="00C24253">
              <w:rPr>
                <w:rFonts w:cs="Arial"/>
                <w:sz w:val="16"/>
                <w:szCs w:val="16"/>
              </w:rPr>
              <w:t>vzdělání (základní – 94,5; vysokoškolské – 99,5)</w:t>
            </w:r>
          </w:p>
        </w:tc>
      </w:tr>
      <w:tr w:rsidR="006027A7" w:rsidRPr="00C24253" w:rsidTr="00B875EE">
        <w:trPr>
          <w:trHeight w:val="397"/>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096A9F">
            <w:pPr>
              <w:rPr>
                <w:rFonts w:cs="Arial"/>
                <w:sz w:val="16"/>
                <w:szCs w:val="16"/>
              </w:rPr>
            </w:pPr>
            <w:r w:rsidRPr="00C24253">
              <w:rPr>
                <w:rFonts w:cs="Arial"/>
                <w:sz w:val="16"/>
                <w:szCs w:val="16"/>
              </w:rPr>
              <w:t>Zaměstnání</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096A9F">
            <w:pPr>
              <w:jc w:val="center"/>
              <w:rPr>
                <w:rFonts w:cs="Arial"/>
                <w:sz w:val="16"/>
                <w:szCs w:val="16"/>
              </w:rPr>
            </w:pPr>
            <w:r w:rsidRPr="00C24253">
              <w:rPr>
                <w:rFonts w:cs="Arial"/>
                <w:sz w:val="16"/>
                <w:szCs w:val="16"/>
              </w:rPr>
              <w:t>84,7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7A7" w:rsidRPr="00C24253" w:rsidRDefault="006027A7" w:rsidP="004A0179">
            <w:pPr>
              <w:jc w:val="left"/>
              <w:rPr>
                <w:rFonts w:cs="Arial"/>
                <w:sz w:val="16"/>
                <w:szCs w:val="16"/>
              </w:rPr>
            </w:pPr>
            <w:r w:rsidRPr="00C24253">
              <w:rPr>
                <w:rFonts w:cs="Arial"/>
                <w:sz w:val="16"/>
                <w:szCs w:val="16"/>
              </w:rPr>
              <w:t>vzdělání (základní – 59,8; vysokoškolské – 94,4)</w:t>
            </w:r>
          </w:p>
        </w:tc>
      </w:tr>
    </w:tbl>
    <w:p w:rsidR="00096A9F" w:rsidRPr="00C24253" w:rsidRDefault="00096A9F" w:rsidP="00B875EE">
      <w:pPr>
        <w:spacing w:before="360" w:after="120"/>
        <w:ind w:left="340"/>
        <w:rPr>
          <w:sz w:val="20"/>
          <w:szCs w:val="20"/>
        </w:rPr>
      </w:pPr>
      <w:r w:rsidRPr="00C24253">
        <w:rPr>
          <w:sz w:val="20"/>
          <w:szCs w:val="20"/>
        </w:rPr>
        <w:t xml:space="preserve">Největší rozdíly v hodnotě indikátoru MRI byly u položek formuláře za osobu, přitom nejnižší u nepovinných otázek. U nepovinných otázek na národnost a náboženskou víru se ukázalo, že se zvyšujícím se vzděláním a věkem respondentů se zvyšovala také ochota uvedení odpovědi. U otázky na náboženství se projevil také vliv regionu – nejvíce tuto nepovinnou otázku vyplňovali respondenti ze Zlínského kraje. </w:t>
      </w:r>
    </w:p>
    <w:p w:rsidR="00096A9F" w:rsidRPr="00C24253" w:rsidRDefault="00096A9F" w:rsidP="007B2C10">
      <w:pPr>
        <w:spacing w:after="240"/>
        <w:ind w:left="340"/>
        <w:rPr>
          <w:sz w:val="20"/>
          <w:szCs w:val="20"/>
        </w:rPr>
      </w:pPr>
      <w:r w:rsidRPr="00C24253">
        <w:rPr>
          <w:sz w:val="20"/>
          <w:szCs w:val="20"/>
        </w:rPr>
        <w:t xml:space="preserve">U bytového listu přesahovala míra response většiny položek 95 %. Neprojevil se žádný diferencující vliv faktorů. U domovního listu se míra response většiny položek pohybovala okolo hodnoty 99 %. </w:t>
      </w:r>
    </w:p>
    <w:p w:rsidR="00096A9F" w:rsidRPr="00C24253" w:rsidRDefault="00B15E3A" w:rsidP="001F34D8">
      <w:pPr>
        <w:pStyle w:val="Nadpis3"/>
      </w:pPr>
      <w:bookmarkStart w:id="9" w:name="_Toc371588134"/>
      <w:r w:rsidRPr="00C24253">
        <w:t>Rozpočet sčítání</w:t>
      </w:r>
      <w:bookmarkEnd w:id="9"/>
    </w:p>
    <w:p w:rsidR="00096A9F" w:rsidRPr="00C24253" w:rsidRDefault="00096A9F" w:rsidP="004F31B0">
      <w:pPr>
        <w:spacing w:after="120"/>
        <w:rPr>
          <w:sz w:val="20"/>
          <w:szCs w:val="20"/>
        </w:rPr>
      </w:pPr>
      <w:r w:rsidRPr="00C24253">
        <w:rPr>
          <w:sz w:val="20"/>
          <w:szCs w:val="20"/>
        </w:rPr>
        <w:t>Návrh rozpočtu byl součástí návrhu věcného záměru zákona o sčítání lidu, domů a bytů v roce 2011. Byl zpracován v roce 2006 a upraven v l. pololetí 2007, kdy byla zpracována druhá verze návrhu věcného záměru.</w:t>
      </w:r>
      <w:r w:rsidR="00A3241E" w:rsidRPr="00C24253">
        <w:rPr>
          <w:sz w:val="20"/>
          <w:szCs w:val="20"/>
        </w:rPr>
        <w:t xml:space="preserve"> </w:t>
      </w:r>
      <w:r w:rsidRPr="00C24253">
        <w:rPr>
          <w:sz w:val="20"/>
          <w:szCs w:val="20"/>
        </w:rPr>
        <w:t>Příprava sčítání začala již v roce 2005, ale náklady ČSÚ na tuto přípravu do roku 2007 byly kryty z běžného rozpočtu ČSÚ. Počínaje rokem 2008 však již bylo potřebné zvyšování kapacit a krytí nabíhajících nákladů na vlastní přípravu sčítání v centru i v regionech financovat z prostředků účelově určených na provedení sčítání 2011.</w:t>
      </w:r>
    </w:p>
    <w:p w:rsidR="00B875EE" w:rsidRPr="00C24253" w:rsidRDefault="00B875EE" w:rsidP="00B875EE">
      <w:pPr>
        <w:pStyle w:val="Zkladntext"/>
        <w:spacing w:after="240"/>
        <w:ind w:firstLine="0"/>
        <w:rPr>
          <w:bCs/>
        </w:rPr>
      </w:pPr>
      <w:r w:rsidRPr="00C24253">
        <w:t xml:space="preserve">Celkově byly schváleny výdaje z rozpočtové kapitoly 345 – </w:t>
      </w:r>
      <w:r w:rsidRPr="00C24253">
        <w:rPr>
          <w:b/>
        </w:rPr>
        <w:t>Český statistický úřad</w:t>
      </w:r>
      <w:r w:rsidRPr="00C24253">
        <w:t xml:space="preserve"> v letech 2008 až 2013 ve výši </w:t>
      </w:r>
      <w:r w:rsidRPr="00C24253">
        <w:rPr>
          <w:b/>
          <w:bCs/>
        </w:rPr>
        <w:t xml:space="preserve">2 519 </w:t>
      </w:r>
      <w:r w:rsidRPr="00C24253">
        <w:rPr>
          <w:b/>
        </w:rPr>
        <w:t>mil. Kč</w:t>
      </w:r>
      <w:r w:rsidRPr="00C24253">
        <w:t xml:space="preserve"> (v cenách roku 2007).</w:t>
      </w:r>
      <w:r w:rsidRPr="00C24253">
        <w:rPr>
          <w:b/>
          <w:bCs/>
        </w:rPr>
        <w:t xml:space="preserve"> </w:t>
      </w:r>
      <w:r w:rsidRPr="00C24253">
        <w:rPr>
          <w:bCs/>
        </w:rPr>
        <w:t xml:space="preserve">Výdaje </w:t>
      </w:r>
      <w:r w:rsidRPr="00C24253">
        <w:rPr>
          <w:b/>
          <w:bCs/>
        </w:rPr>
        <w:t>ostatních ústředních správních úřadů</w:t>
      </w:r>
      <w:r w:rsidRPr="00C24253">
        <w:rPr>
          <w:bCs/>
        </w:rPr>
        <w:t xml:space="preserve"> </w:t>
      </w:r>
      <w:r w:rsidR="00D423B3">
        <w:t>na přípravu a </w:t>
      </w:r>
      <w:r w:rsidRPr="00C24253">
        <w:t xml:space="preserve">provedení vlastního sčítání se očekávaly ve výši </w:t>
      </w:r>
      <w:r w:rsidRPr="00C24253">
        <w:rPr>
          <w:b/>
          <w:bCs/>
        </w:rPr>
        <w:t xml:space="preserve">23 mil. Kč, </w:t>
      </w:r>
      <w:r w:rsidRPr="00C24253">
        <w:rPr>
          <w:bCs/>
        </w:rPr>
        <w:t>ale nebyly plně vyčerpány</w:t>
      </w:r>
      <w:r w:rsidRPr="00C24253">
        <w:t>.</w:t>
      </w:r>
    </w:p>
    <w:p w:rsidR="00B875EE" w:rsidRPr="00C24253" w:rsidRDefault="00B875EE" w:rsidP="006D39B0">
      <w:pPr>
        <w:pStyle w:val="Zkladntext"/>
        <w:ind w:left="284" w:firstLine="0"/>
        <w:rPr>
          <w:b/>
          <w:bCs/>
        </w:rPr>
      </w:pPr>
      <w:r w:rsidRPr="00C24253">
        <w:rPr>
          <w:b/>
          <w:bCs/>
        </w:rPr>
        <w:t>Rozpočet ČSÚ (schválený ve věcném záměru zákona) v tis. Kč</w:t>
      </w: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140"/>
        <w:gridCol w:w="1020"/>
        <w:gridCol w:w="1020"/>
        <w:gridCol w:w="1020"/>
        <w:gridCol w:w="1020"/>
        <w:gridCol w:w="1020"/>
        <w:gridCol w:w="1020"/>
        <w:gridCol w:w="1020"/>
      </w:tblGrid>
      <w:tr w:rsidR="00B875EE" w:rsidRPr="00C24253" w:rsidTr="008209EE">
        <w:trPr>
          <w:trHeight w:val="397"/>
          <w:jc w:val="center"/>
        </w:trPr>
        <w:tc>
          <w:tcPr>
            <w:tcW w:w="2140" w:type="dxa"/>
            <w:tcBorders>
              <w:bottom w:val="single" w:sz="4" w:space="0" w:color="auto"/>
            </w:tcBorders>
            <w:shd w:val="clear" w:color="auto" w:fill="auto"/>
            <w:tcMar>
              <w:left w:w="85" w:type="dxa"/>
              <w:right w:w="0" w:type="dxa"/>
            </w:tcMar>
            <w:vAlign w:val="center"/>
            <w:hideMark/>
          </w:tcPr>
          <w:p w:rsidR="00B875EE" w:rsidRPr="00C24253" w:rsidRDefault="00B875EE" w:rsidP="00E71B74">
            <w:pPr>
              <w:jc w:val="left"/>
              <w:rPr>
                <w:rFonts w:cs="Arial"/>
                <w:sz w:val="16"/>
                <w:szCs w:val="16"/>
              </w:rPr>
            </w:pPr>
            <w:r w:rsidRPr="00C24253">
              <w:rPr>
                <w:rFonts w:cs="Arial"/>
                <w:sz w:val="16"/>
                <w:szCs w:val="16"/>
              </w:rPr>
              <w:t>Rozpočtová položka</w:t>
            </w:r>
          </w:p>
        </w:tc>
        <w:tc>
          <w:tcPr>
            <w:tcW w:w="1020" w:type="dxa"/>
            <w:tcBorders>
              <w:bottom w:val="single" w:sz="4" w:space="0" w:color="auto"/>
            </w:tcBorders>
            <w:shd w:val="clear" w:color="auto" w:fill="auto"/>
            <w:noWrap/>
            <w:tcMar>
              <w:left w:w="0" w:type="dxa"/>
              <w:right w:w="113" w:type="dxa"/>
            </w:tcMar>
            <w:vAlign w:val="center"/>
            <w:hideMark/>
          </w:tcPr>
          <w:p w:rsidR="00B875EE" w:rsidRPr="00C24253" w:rsidRDefault="00B875EE" w:rsidP="00E71B74">
            <w:pPr>
              <w:jc w:val="center"/>
              <w:rPr>
                <w:rFonts w:cs="Arial"/>
                <w:sz w:val="16"/>
                <w:szCs w:val="16"/>
              </w:rPr>
            </w:pPr>
            <w:r w:rsidRPr="00C24253">
              <w:rPr>
                <w:rFonts w:cs="Arial"/>
                <w:sz w:val="16"/>
                <w:szCs w:val="16"/>
              </w:rPr>
              <w:t>2008</w:t>
            </w:r>
          </w:p>
        </w:tc>
        <w:tc>
          <w:tcPr>
            <w:tcW w:w="1020" w:type="dxa"/>
            <w:tcBorders>
              <w:bottom w:val="single" w:sz="4" w:space="0" w:color="auto"/>
            </w:tcBorders>
            <w:shd w:val="clear" w:color="auto" w:fill="auto"/>
            <w:noWrap/>
            <w:tcMar>
              <w:left w:w="85" w:type="dxa"/>
              <w:right w:w="0" w:type="dxa"/>
            </w:tcMar>
            <w:vAlign w:val="center"/>
            <w:hideMark/>
          </w:tcPr>
          <w:p w:rsidR="00B875EE" w:rsidRPr="00C24253" w:rsidRDefault="00B875EE" w:rsidP="00E71B74">
            <w:pPr>
              <w:jc w:val="center"/>
              <w:rPr>
                <w:rFonts w:cs="Arial"/>
                <w:sz w:val="16"/>
                <w:szCs w:val="16"/>
              </w:rPr>
            </w:pPr>
            <w:r w:rsidRPr="00C24253">
              <w:rPr>
                <w:rFonts w:cs="Arial"/>
                <w:sz w:val="16"/>
                <w:szCs w:val="16"/>
              </w:rPr>
              <w:t>2009</w:t>
            </w:r>
          </w:p>
        </w:tc>
        <w:tc>
          <w:tcPr>
            <w:tcW w:w="1020" w:type="dxa"/>
            <w:tcBorders>
              <w:bottom w:val="single" w:sz="4" w:space="0" w:color="auto"/>
            </w:tcBorders>
            <w:shd w:val="clear" w:color="auto" w:fill="auto"/>
            <w:noWrap/>
            <w:tcMar>
              <w:left w:w="85" w:type="dxa"/>
              <w:right w:w="0" w:type="dxa"/>
            </w:tcMar>
            <w:vAlign w:val="center"/>
            <w:hideMark/>
          </w:tcPr>
          <w:p w:rsidR="00B875EE" w:rsidRPr="00C24253" w:rsidRDefault="00B875EE" w:rsidP="00E71B74">
            <w:pPr>
              <w:jc w:val="center"/>
              <w:rPr>
                <w:rFonts w:cs="Arial"/>
                <w:sz w:val="16"/>
                <w:szCs w:val="16"/>
              </w:rPr>
            </w:pPr>
            <w:r w:rsidRPr="00C24253">
              <w:rPr>
                <w:rFonts w:cs="Arial"/>
                <w:sz w:val="16"/>
                <w:szCs w:val="16"/>
              </w:rPr>
              <w:t>2010</w:t>
            </w:r>
          </w:p>
        </w:tc>
        <w:tc>
          <w:tcPr>
            <w:tcW w:w="1020" w:type="dxa"/>
            <w:tcBorders>
              <w:bottom w:val="single" w:sz="4" w:space="0" w:color="auto"/>
            </w:tcBorders>
            <w:shd w:val="clear" w:color="auto" w:fill="auto"/>
            <w:noWrap/>
            <w:tcMar>
              <w:left w:w="85" w:type="dxa"/>
              <w:right w:w="0" w:type="dxa"/>
            </w:tcMar>
            <w:vAlign w:val="center"/>
            <w:hideMark/>
          </w:tcPr>
          <w:p w:rsidR="00B875EE" w:rsidRPr="00C24253" w:rsidRDefault="00B875EE" w:rsidP="00E71B74">
            <w:pPr>
              <w:jc w:val="center"/>
              <w:rPr>
                <w:rFonts w:cs="Arial"/>
                <w:sz w:val="16"/>
                <w:szCs w:val="16"/>
              </w:rPr>
            </w:pPr>
            <w:r w:rsidRPr="00C24253">
              <w:rPr>
                <w:rFonts w:cs="Arial"/>
                <w:sz w:val="16"/>
                <w:szCs w:val="16"/>
              </w:rPr>
              <w:t>2011</w:t>
            </w:r>
          </w:p>
        </w:tc>
        <w:tc>
          <w:tcPr>
            <w:tcW w:w="1020" w:type="dxa"/>
            <w:tcBorders>
              <w:bottom w:val="single" w:sz="4" w:space="0" w:color="auto"/>
            </w:tcBorders>
            <w:shd w:val="clear" w:color="auto" w:fill="auto"/>
            <w:noWrap/>
            <w:tcMar>
              <w:left w:w="85" w:type="dxa"/>
              <w:right w:w="0" w:type="dxa"/>
            </w:tcMar>
            <w:vAlign w:val="center"/>
            <w:hideMark/>
          </w:tcPr>
          <w:p w:rsidR="00B875EE" w:rsidRPr="00C24253" w:rsidRDefault="00B875EE" w:rsidP="00E71B74">
            <w:pPr>
              <w:jc w:val="center"/>
              <w:rPr>
                <w:rFonts w:cs="Arial"/>
                <w:sz w:val="16"/>
                <w:szCs w:val="16"/>
              </w:rPr>
            </w:pPr>
            <w:r w:rsidRPr="00C24253">
              <w:rPr>
                <w:rFonts w:cs="Arial"/>
                <w:sz w:val="16"/>
                <w:szCs w:val="16"/>
              </w:rPr>
              <w:t>2012</w:t>
            </w:r>
          </w:p>
        </w:tc>
        <w:tc>
          <w:tcPr>
            <w:tcW w:w="1020" w:type="dxa"/>
            <w:tcBorders>
              <w:bottom w:val="single" w:sz="4" w:space="0" w:color="auto"/>
            </w:tcBorders>
            <w:shd w:val="clear" w:color="auto" w:fill="auto"/>
            <w:noWrap/>
            <w:tcMar>
              <w:left w:w="85" w:type="dxa"/>
              <w:right w:w="0" w:type="dxa"/>
            </w:tcMar>
            <w:vAlign w:val="center"/>
            <w:hideMark/>
          </w:tcPr>
          <w:p w:rsidR="00B875EE" w:rsidRPr="00C24253" w:rsidRDefault="00B875EE" w:rsidP="00E71B74">
            <w:pPr>
              <w:jc w:val="center"/>
              <w:rPr>
                <w:rFonts w:cs="Arial"/>
                <w:sz w:val="16"/>
                <w:szCs w:val="16"/>
              </w:rPr>
            </w:pPr>
            <w:r w:rsidRPr="00C24253">
              <w:rPr>
                <w:rFonts w:cs="Arial"/>
                <w:sz w:val="16"/>
                <w:szCs w:val="16"/>
              </w:rPr>
              <w:t>2013</w:t>
            </w:r>
          </w:p>
        </w:tc>
        <w:tc>
          <w:tcPr>
            <w:tcW w:w="1020" w:type="dxa"/>
            <w:tcBorders>
              <w:bottom w:val="single" w:sz="4" w:space="0" w:color="auto"/>
            </w:tcBorders>
            <w:shd w:val="clear" w:color="auto" w:fill="auto"/>
            <w:noWrap/>
            <w:tcMar>
              <w:left w:w="85" w:type="dxa"/>
              <w:right w:w="0" w:type="dxa"/>
            </w:tcMar>
            <w:vAlign w:val="center"/>
            <w:hideMark/>
          </w:tcPr>
          <w:p w:rsidR="00B875EE" w:rsidRPr="00C24253" w:rsidRDefault="00B875EE" w:rsidP="00E71B74">
            <w:pPr>
              <w:jc w:val="center"/>
              <w:rPr>
                <w:rFonts w:cs="Arial"/>
                <w:b/>
                <w:sz w:val="16"/>
                <w:szCs w:val="16"/>
              </w:rPr>
            </w:pPr>
            <w:r w:rsidRPr="00C24253">
              <w:rPr>
                <w:rFonts w:cs="Arial"/>
                <w:b/>
                <w:sz w:val="16"/>
                <w:szCs w:val="16"/>
              </w:rPr>
              <w:t>Celkem</w:t>
            </w:r>
          </w:p>
        </w:tc>
      </w:tr>
      <w:tr w:rsidR="008209EE" w:rsidRPr="00C24253" w:rsidTr="00F6605F">
        <w:trPr>
          <w:trHeight w:val="397"/>
          <w:jc w:val="center"/>
        </w:trPr>
        <w:tc>
          <w:tcPr>
            <w:tcW w:w="2140" w:type="dxa"/>
            <w:tcBorders>
              <w:bottom w:val="nil"/>
            </w:tcBorders>
            <w:shd w:val="clear" w:color="auto" w:fill="auto"/>
            <w:noWrap/>
            <w:tcMar>
              <w:left w:w="85" w:type="dxa"/>
              <w:right w:w="0" w:type="dxa"/>
            </w:tcMar>
            <w:vAlign w:val="center"/>
            <w:hideMark/>
          </w:tcPr>
          <w:p w:rsidR="008209EE" w:rsidRPr="00C24253" w:rsidRDefault="008209EE" w:rsidP="00452700">
            <w:pPr>
              <w:jc w:val="left"/>
              <w:rPr>
                <w:rFonts w:cs="Arial"/>
                <w:sz w:val="16"/>
                <w:szCs w:val="16"/>
              </w:rPr>
            </w:pPr>
            <w:r w:rsidRPr="00C24253">
              <w:rPr>
                <w:rFonts w:cs="Arial"/>
                <w:sz w:val="16"/>
                <w:szCs w:val="16"/>
              </w:rPr>
              <w:t>Běžné výdaje celkem</w:t>
            </w:r>
          </w:p>
        </w:tc>
        <w:tc>
          <w:tcPr>
            <w:tcW w:w="1020" w:type="dxa"/>
            <w:tcBorders>
              <w:bottom w:val="nil"/>
            </w:tcBorders>
            <w:shd w:val="clear" w:color="auto" w:fill="auto"/>
            <w:noWrap/>
            <w:tcMar>
              <w:left w:w="0" w:type="dxa"/>
              <w:right w:w="113" w:type="dxa"/>
            </w:tcMar>
            <w:vAlign w:val="center"/>
            <w:hideMark/>
          </w:tcPr>
          <w:p w:rsidR="008209EE" w:rsidRPr="00C24253" w:rsidRDefault="008209EE" w:rsidP="00452700">
            <w:pPr>
              <w:ind w:right="113"/>
              <w:jc w:val="right"/>
              <w:rPr>
                <w:rFonts w:cs="Arial"/>
                <w:sz w:val="16"/>
                <w:szCs w:val="16"/>
              </w:rPr>
            </w:pPr>
            <w:r w:rsidRPr="00C24253">
              <w:rPr>
                <w:rFonts w:cs="Arial"/>
                <w:sz w:val="16"/>
                <w:szCs w:val="16"/>
              </w:rPr>
              <w:t>32 000</w:t>
            </w:r>
          </w:p>
        </w:tc>
        <w:tc>
          <w:tcPr>
            <w:tcW w:w="1020" w:type="dxa"/>
            <w:tcBorders>
              <w:bottom w:val="nil"/>
            </w:tcBorders>
            <w:shd w:val="clear" w:color="auto" w:fill="auto"/>
            <w:noWrap/>
            <w:tcMar>
              <w:left w:w="85" w:type="dxa"/>
              <w:right w:w="0" w:type="dxa"/>
            </w:tcMar>
            <w:vAlign w:val="center"/>
            <w:hideMark/>
          </w:tcPr>
          <w:p w:rsidR="008209EE" w:rsidRPr="00C24253" w:rsidRDefault="008209EE" w:rsidP="00452700">
            <w:pPr>
              <w:ind w:right="113"/>
              <w:jc w:val="right"/>
              <w:rPr>
                <w:rFonts w:cs="Arial"/>
                <w:sz w:val="16"/>
                <w:szCs w:val="16"/>
              </w:rPr>
            </w:pPr>
            <w:r w:rsidRPr="00C24253">
              <w:rPr>
                <w:rFonts w:cs="Arial"/>
                <w:sz w:val="16"/>
                <w:szCs w:val="16"/>
              </w:rPr>
              <w:t>88 000</w:t>
            </w:r>
          </w:p>
        </w:tc>
        <w:tc>
          <w:tcPr>
            <w:tcW w:w="1020" w:type="dxa"/>
            <w:tcBorders>
              <w:bottom w:val="nil"/>
            </w:tcBorders>
            <w:shd w:val="clear" w:color="auto" w:fill="auto"/>
            <w:noWrap/>
            <w:tcMar>
              <w:left w:w="85" w:type="dxa"/>
              <w:right w:w="0" w:type="dxa"/>
            </w:tcMar>
            <w:vAlign w:val="center"/>
            <w:hideMark/>
          </w:tcPr>
          <w:p w:rsidR="008209EE" w:rsidRPr="00C24253" w:rsidRDefault="008209EE" w:rsidP="00452700">
            <w:pPr>
              <w:ind w:right="113"/>
              <w:jc w:val="right"/>
              <w:rPr>
                <w:rFonts w:cs="Arial"/>
                <w:sz w:val="16"/>
                <w:szCs w:val="16"/>
              </w:rPr>
            </w:pPr>
            <w:r w:rsidRPr="00C24253">
              <w:rPr>
                <w:rFonts w:cs="Arial"/>
                <w:sz w:val="16"/>
                <w:szCs w:val="16"/>
              </w:rPr>
              <w:t>486 000</w:t>
            </w:r>
          </w:p>
        </w:tc>
        <w:tc>
          <w:tcPr>
            <w:tcW w:w="1020" w:type="dxa"/>
            <w:tcBorders>
              <w:bottom w:val="nil"/>
            </w:tcBorders>
            <w:shd w:val="clear" w:color="auto" w:fill="auto"/>
            <w:noWrap/>
            <w:tcMar>
              <w:left w:w="85" w:type="dxa"/>
              <w:right w:w="0" w:type="dxa"/>
            </w:tcMar>
            <w:vAlign w:val="center"/>
            <w:hideMark/>
          </w:tcPr>
          <w:p w:rsidR="008209EE" w:rsidRPr="00C24253" w:rsidRDefault="008209EE" w:rsidP="00452700">
            <w:pPr>
              <w:ind w:right="113"/>
              <w:jc w:val="right"/>
              <w:rPr>
                <w:rFonts w:cs="Arial"/>
                <w:sz w:val="16"/>
                <w:szCs w:val="16"/>
              </w:rPr>
            </w:pPr>
            <w:r w:rsidRPr="00C24253">
              <w:rPr>
                <w:rFonts w:cs="Arial"/>
                <w:sz w:val="16"/>
                <w:szCs w:val="16"/>
              </w:rPr>
              <w:t>1</w:t>
            </w:r>
            <w:r>
              <w:rPr>
                <w:rFonts w:cs="Arial"/>
                <w:sz w:val="16"/>
                <w:szCs w:val="16"/>
              </w:rPr>
              <w:t> </w:t>
            </w:r>
            <w:r w:rsidRPr="00C24253">
              <w:rPr>
                <w:rFonts w:cs="Arial"/>
                <w:sz w:val="16"/>
                <w:szCs w:val="16"/>
              </w:rPr>
              <w:t>561</w:t>
            </w:r>
            <w:r>
              <w:rPr>
                <w:rFonts w:cs="Arial"/>
                <w:sz w:val="16"/>
                <w:szCs w:val="16"/>
              </w:rPr>
              <w:t xml:space="preserve"> </w:t>
            </w:r>
            <w:r w:rsidRPr="00C24253">
              <w:rPr>
                <w:rFonts w:cs="Arial"/>
                <w:sz w:val="16"/>
                <w:szCs w:val="16"/>
              </w:rPr>
              <w:t>000</w:t>
            </w:r>
          </w:p>
        </w:tc>
        <w:tc>
          <w:tcPr>
            <w:tcW w:w="1020" w:type="dxa"/>
            <w:tcBorders>
              <w:bottom w:val="nil"/>
            </w:tcBorders>
            <w:shd w:val="clear" w:color="auto" w:fill="auto"/>
            <w:noWrap/>
            <w:tcMar>
              <w:left w:w="85" w:type="dxa"/>
              <w:right w:w="0" w:type="dxa"/>
            </w:tcMar>
            <w:vAlign w:val="center"/>
            <w:hideMark/>
          </w:tcPr>
          <w:p w:rsidR="008209EE" w:rsidRPr="00C24253" w:rsidRDefault="008209EE" w:rsidP="00452700">
            <w:pPr>
              <w:ind w:right="113"/>
              <w:jc w:val="right"/>
              <w:rPr>
                <w:rFonts w:cs="Arial"/>
                <w:sz w:val="16"/>
                <w:szCs w:val="16"/>
              </w:rPr>
            </w:pPr>
            <w:r w:rsidRPr="00C24253">
              <w:rPr>
                <w:rFonts w:cs="Arial"/>
                <w:sz w:val="16"/>
                <w:szCs w:val="16"/>
              </w:rPr>
              <w:t>151 000</w:t>
            </w:r>
          </w:p>
        </w:tc>
        <w:tc>
          <w:tcPr>
            <w:tcW w:w="1020" w:type="dxa"/>
            <w:tcBorders>
              <w:bottom w:val="nil"/>
            </w:tcBorders>
            <w:shd w:val="clear" w:color="auto" w:fill="auto"/>
            <w:noWrap/>
            <w:tcMar>
              <w:left w:w="85" w:type="dxa"/>
              <w:right w:w="0" w:type="dxa"/>
            </w:tcMar>
            <w:vAlign w:val="center"/>
            <w:hideMark/>
          </w:tcPr>
          <w:p w:rsidR="008209EE" w:rsidRPr="00C24253" w:rsidRDefault="008209EE" w:rsidP="00452700">
            <w:pPr>
              <w:ind w:right="113"/>
              <w:jc w:val="right"/>
              <w:rPr>
                <w:rFonts w:cs="Arial"/>
                <w:sz w:val="16"/>
                <w:szCs w:val="16"/>
              </w:rPr>
            </w:pPr>
            <w:r w:rsidRPr="00C24253">
              <w:rPr>
                <w:rFonts w:cs="Arial"/>
                <w:sz w:val="16"/>
                <w:szCs w:val="16"/>
              </w:rPr>
              <w:t>38 000</w:t>
            </w:r>
          </w:p>
        </w:tc>
        <w:tc>
          <w:tcPr>
            <w:tcW w:w="1020" w:type="dxa"/>
            <w:tcBorders>
              <w:bottom w:val="nil"/>
            </w:tcBorders>
            <w:shd w:val="clear" w:color="auto" w:fill="auto"/>
            <w:noWrap/>
            <w:tcMar>
              <w:left w:w="85" w:type="dxa"/>
              <w:right w:w="0" w:type="dxa"/>
            </w:tcMar>
            <w:vAlign w:val="center"/>
            <w:hideMark/>
          </w:tcPr>
          <w:p w:rsidR="008209EE" w:rsidRPr="00C24253" w:rsidRDefault="008209EE" w:rsidP="00452700">
            <w:pPr>
              <w:ind w:right="113"/>
              <w:jc w:val="right"/>
              <w:rPr>
                <w:rFonts w:cs="Arial"/>
                <w:b/>
                <w:sz w:val="16"/>
                <w:szCs w:val="16"/>
              </w:rPr>
            </w:pPr>
            <w:r w:rsidRPr="00C24253">
              <w:rPr>
                <w:rFonts w:cs="Arial"/>
                <w:b/>
                <w:sz w:val="16"/>
                <w:szCs w:val="16"/>
              </w:rPr>
              <w:t>2 356 000</w:t>
            </w:r>
          </w:p>
        </w:tc>
      </w:tr>
      <w:tr w:rsidR="008209EE" w:rsidRPr="00C24253" w:rsidTr="008209EE">
        <w:trPr>
          <w:trHeight w:val="170"/>
          <w:jc w:val="center"/>
        </w:trPr>
        <w:tc>
          <w:tcPr>
            <w:tcW w:w="2140" w:type="dxa"/>
            <w:tcBorders>
              <w:top w:val="nil"/>
              <w:bottom w:val="nil"/>
            </w:tcBorders>
            <w:shd w:val="clear" w:color="auto" w:fill="auto"/>
            <w:noWrap/>
            <w:tcMar>
              <w:left w:w="85" w:type="dxa"/>
              <w:right w:w="0" w:type="dxa"/>
            </w:tcMar>
            <w:vAlign w:val="center"/>
            <w:hideMark/>
          </w:tcPr>
          <w:p w:rsidR="008209EE" w:rsidRPr="00C24253" w:rsidRDefault="008209EE" w:rsidP="008209EE">
            <w:pPr>
              <w:jc w:val="left"/>
              <w:rPr>
                <w:rFonts w:cs="Arial"/>
                <w:sz w:val="16"/>
                <w:szCs w:val="16"/>
              </w:rPr>
            </w:pPr>
            <w:r>
              <w:rPr>
                <w:rFonts w:cs="Arial"/>
                <w:sz w:val="16"/>
                <w:szCs w:val="16"/>
              </w:rPr>
              <w:t>v tom:</w:t>
            </w:r>
          </w:p>
        </w:tc>
        <w:tc>
          <w:tcPr>
            <w:tcW w:w="1020" w:type="dxa"/>
            <w:tcBorders>
              <w:top w:val="nil"/>
              <w:bottom w:val="nil"/>
            </w:tcBorders>
            <w:shd w:val="clear" w:color="auto" w:fill="auto"/>
            <w:noWrap/>
            <w:tcMar>
              <w:left w:w="0" w:type="dxa"/>
              <w:right w:w="113" w:type="dxa"/>
            </w:tcMar>
            <w:vAlign w:val="center"/>
            <w:hideMark/>
          </w:tcPr>
          <w:p w:rsidR="008209EE" w:rsidRPr="00C24253" w:rsidRDefault="008209EE" w:rsidP="00E71B74">
            <w:pPr>
              <w:ind w:right="113"/>
              <w:jc w:val="right"/>
              <w:rPr>
                <w:rFonts w:cs="Arial"/>
                <w:sz w:val="16"/>
                <w:szCs w:val="16"/>
              </w:rPr>
            </w:pP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p>
        </w:tc>
      </w:tr>
      <w:tr w:rsidR="008209EE" w:rsidRPr="00C24253" w:rsidTr="008209EE">
        <w:trPr>
          <w:trHeight w:val="397"/>
          <w:jc w:val="center"/>
        </w:trPr>
        <w:tc>
          <w:tcPr>
            <w:tcW w:w="2140" w:type="dxa"/>
            <w:tcBorders>
              <w:top w:val="nil"/>
              <w:bottom w:val="nil"/>
            </w:tcBorders>
            <w:shd w:val="clear" w:color="auto" w:fill="auto"/>
            <w:noWrap/>
            <w:tcMar>
              <w:left w:w="85" w:type="dxa"/>
              <w:right w:w="0" w:type="dxa"/>
            </w:tcMar>
            <w:vAlign w:val="center"/>
            <w:hideMark/>
          </w:tcPr>
          <w:p w:rsidR="008209EE" w:rsidRPr="00C24253" w:rsidRDefault="008209EE" w:rsidP="008209EE">
            <w:pPr>
              <w:ind w:left="113"/>
              <w:jc w:val="left"/>
              <w:rPr>
                <w:rFonts w:cs="Arial"/>
                <w:sz w:val="16"/>
                <w:szCs w:val="16"/>
              </w:rPr>
            </w:pPr>
            <w:r>
              <w:rPr>
                <w:rFonts w:cs="Arial"/>
                <w:sz w:val="16"/>
                <w:szCs w:val="16"/>
              </w:rPr>
              <w:t>o</w:t>
            </w:r>
            <w:r w:rsidRPr="00C24253">
              <w:rPr>
                <w:rFonts w:cs="Arial"/>
                <w:sz w:val="16"/>
                <w:szCs w:val="16"/>
              </w:rPr>
              <w:t>sobní výdaje</w:t>
            </w:r>
          </w:p>
        </w:tc>
        <w:tc>
          <w:tcPr>
            <w:tcW w:w="1020" w:type="dxa"/>
            <w:tcBorders>
              <w:top w:val="nil"/>
              <w:bottom w:val="nil"/>
            </w:tcBorders>
            <w:shd w:val="clear" w:color="auto" w:fill="auto"/>
            <w:noWrap/>
            <w:tcMar>
              <w:left w:w="0" w:type="dxa"/>
              <w:right w:w="113"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7 000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33 000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98 000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309 000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48 000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14 000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509 000</w:t>
            </w:r>
          </w:p>
        </w:tc>
      </w:tr>
      <w:tr w:rsidR="008209EE" w:rsidRPr="00C24253" w:rsidTr="00F6605F">
        <w:trPr>
          <w:trHeight w:val="397"/>
          <w:jc w:val="center"/>
        </w:trPr>
        <w:tc>
          <w:tcPr>
            <w:tcW w:w="2140" w:type="dxa"/>
            <w:tcBorders>
              <w:top w:val="nil"/>
              <w:bottom w:val="nil"/>
            </w:tcBorders>
            <w:shd w:val="clear" w:color="auto" w:fill="auto"/>
            <w:noWrap/>
            <w:tcMar>
              <w:left w:w="85" w:type="dxa"/>
              <w:right w:w="0" w:type="dxa"/>
            </w:tcMar>
            <w:vAlign w:val="center"/>
            <w:hideMark/>
          </w:tcPr>
          <w:p w:rsidR="008209EE" w:rsidRPr="00C24253" w:rsidRDefault="008209EE" w:rsidP="008209EE">
            <w:pPr>
              <w:ind w:left="113"/>
              <w:jc w:val="left"/>
              <w:rPr>
                <w:rFonts w:cs="Arial"/>
                <w:sz w:val="16"/>
                <w:szCs w:val="16"/>
              </w:rPr>
            </w:pPr>
            <w:r>
              <w:rPr>
                <w:rFonts w:cs="Arial"/>
                <w:sz w:val="16"/>
                <w:szCs w:val="16"/>
              </w:rPr>
              <w:t>v</w:t>
            </w:r>
            <w:r w:rsidRPr="00C24253">
              <w:rPr>
                <w:rFonts w:cs="Arial"/>
                <w:sz w:val="16"/>
                <w:szCs w:val="16"/>
              </w:rPr>
              <w:t>ěcné výdaje</w:t>
            </w:r>
          </w:p>
        </w:tc>
        <w:tc>
          <w:tcPr>
            <w:tcW w:w="1020" w:type="dxa"/>
            <w:tcBorders>
              <w:top w:val="nil"/>
              <w:bottom w:val="nil"/>
            </w:tcBorders>
            <w:shd w:val="clear" w:color="auto" w:fill="auto"/>
            <w:noWrap/>
            <w:tcMar>
              <w:left w:w="0" w:type="dxa"/>
              <w:right w:w="113"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25 000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55 000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388 000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1</w:t>
            </w:r>
            <w:r>
              <w:rPr>
                <w:rFonts w:cs="Arial"/>
                <w:sz w:val="16"/>
                <w:szCs w:val="16"/>
              </w:rPr>
              <w:t xml:space="preserve"> </w:t>
            </w:r>
            <w:r w:rsidRPr="00C24253">
              <w:rPr>
                <w:rFonts w:cs="Arial"/>
                <w:sz w:val="16"/>
                <w:szCs w:val="16"/>
              </w:rPr>
              <w:t>252 000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103 000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24 000</w:t>
            </w:r>
          </w:p>
        </w:tc>
        <w:tc>
          <w:tcPr>
            <w:tcW w:w="1020" w:type="dxa"/>
            <w:tcBorders>
              <w:top w:val="nil"/>
              <w:bottom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1 847 000</w:t>
            </w:r>
          </w:p>
        </w:tc>
      </w:tr>
      <w:tr w:rsidR="008209EE" w:rsidRPr="00C24253" w:rsidTr="00F6605F">
        <w:trPr>
          <w:trHeight w:val="397"/>
          <w:jc w:val="center"/>
        </w:trPr>
        <w:tc>
          <w:tcPr>
            <w:tcW w:w="2140" w:type="dxa"/>
            <w:tcBorders>
              <w:top w:val="nil"/>
            </w:tcBorders>
            <w:shd w:val="clear" w:color="auto" w:fill="auto"/>
            <w:noWrap/>
            <w:tcMar>
              <w:left w:w="85" w:type="dxa"/>
              <w:right w:w="0" w:type="dxa"/>
            </w:tcMar>
            <w:vAlign w:val="center"/>
            <w:hideMark/>
          </w:tcPr>
          <w:p w:rsidR="008209EE" w:rsidRPr="00C24253" w:rsidRDefault="008209EE" w:rsidP="00E71B74">
            <w:pPr>
              <w:jc w:val="left"/>
              <w:rPr>
                <w:rFonts w:cs="Arial"/>
                <w:sz w:val="16"/>
                <w:szCs w:val="16"/>
              </w:rPr>
            </w:pPr>
            <w:r w:rsidRPr="00C24253">
              <w:rPr>
                <w:rFonts w:cs="Arial"/>
                <w:sz w:val="16"/>
                <w:szCs w:val="16"/>
              </w:rPr>
              <w:t>Kapitálové výdaje</w:t>
            </w:r>
          </w:p>
        </w:tc>
        <w:tc>
          <w:tcPr>
            <w:tcW w:w="1020" w:type="dxa"/>
            <w:tcBorders>
              <w:top w:val="nil"/>
            </w:tcBorders>
            <w:shd w:val="clear" w:color="auto" w:fill="auto"/>
            <w:noWrap/>
            <w:tcMar>
              <w:left w:w="0" w:type="dxa"/>
              <w:right w:w="113"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3 000</w:t>
            </w:r>
          </w:p>
        </w:tc>
        <w:tc>
          <w:tcPr>
            <w:tcW w:w="1020" w:type="dxa"/>
            <w:tcBorders>
              <w:top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142 000</w:t>
            </w:r>
          </w:p>
        </w:tc>
        <w:tc>
          <w:tcPr>
            <w:tcW w:w="1020" w:type="dxa"/>
            <w:tcBorders>
              <w:top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18 000</w:t>
            </w:r>
          </w:p>
        </w:tc>
        <w:tc>
          <w:tcPr>
            <w:tcW w:w="1020" w:type="dxa"/>
            <w:tcBorders>
              <w:top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 -</w:t>
            </w:r>
          </w:p>
        </w:tc>
        <w:tc>
          <w:tcPr>
            <w:tcW w:w="1020" w:type="dxa"/>
            <w:tcBorders>
              <w:top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 -</w:t>
            </w:r>
          </w:p>
        </w:tc>
        <w:tc>
          <w:tcPr>
            <w:tcW w:w="1020" w:type="dxa"/>
            <w:tcBorders>
              <w:top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sz w:val="16"/>
                <w:szCs w:val="16"/>
              </w:rPr>
            </w:pPr>
            <w:r w:rsidRPr="00C24253">
              <w:rPr>
                <w:rFonts w:cs="Arial"/>
                <w:sz w:val="16"/>
                <w:szCs w:val="16"/>
              </w:rPr>
              <w:t> -</w:t>
            </w:r>
          </w:p>
        </w:tc>
        <w:tc>
          <w:tcPr>
            <w:tcW w:w="1020" w:type="dxa"/>
            <w:tcBorders>
              <w:top w:val="nil"/>
            </w:tcBorders>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163 000</w:t>
            </w:r>
          </w:p>
        </w:tc>
      </w:tr>
      <w:tr w:rsidR="008209EE" w:rsidRPr="00C24253" w:rsidTr="00F6605F">
        <w:trPr>
          <w:trHeight w:val="397"/>
          <w:jc w:val="center"/>
        </w:trPr>
        <w:tc>
          <w:tcPr>
            <w:tcW w:w="2140" w:type="dxa"/>
            <w:shd w:val="clear" w:color="auto" w:fill="auto"/>
            <w:noWrap/>
            <w:tcMar>
              <w:left w:w="85" w:type="dxa"/>
              <w:right w:w="0" w:type="dxa"/>
            </w:tcMar>
            <w:vAlign w:val="center"/>
            <w:hideMark/>
          </w:tcPr>
          <w:p w:rsidR="008209EE" w:rsidRPr="00C24253" w:rsidRDefault="008209EE" w:rsidP="00E71B74">
            <w:pPr>
              <w:jc w:val="left"/>
              <w:rPr>
                <w:rFonts w:cs="Arial"/>
                <w:b/>
                <w:sz w:val="16"/>
                <w:szCs w:val="16"/>
              </w:rPr>
            </w:pPr>
            <w:r w:rsidRPr="00C24253">
              <w:rPr>
                <w:rFonts w:cs="Arial"/>
                <w:b/>
                <w:sz w:val="16"/>
                <w:szCs w:val="16"/>
              </w:rPr>
              <w:t>Výdaje celkem</w:t>
            </w:r>
          </w:p>
        </w:tc>
        <w:tc>
          <w:tcPr>
            <w:tcW w:w="1020" w:type="dxa"/>
            <w:shd w:val="clear" w:color="auto" w:fill="auto"/>
            <w:noWrap/>
            <w:tcMar>
              <w:left w:w="0" w:type="dxa"/>
              <w:right w:w="113"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 xml:space="preserve">35 </w:t>
            </w:r>
            <w:r>
              <w:rPr>
                <w:rFonts w:cs="Arial"/>
                <w:b/>
                <w:sz w:val="16"/>
                <w:szCs w:val="16"/>
              </w:rPr>
              <w:t xml:space="preserve"> </w:t>
            </w:r>
            <w:r w:rsidRPr="00C24253">
              <w:rPr>
                <w:rFonts w:cs="Arial"/>
                <w:b/>
                <w:sz w:val="16"/>
                <w:szCs w:val="16"/>
              </w:rPr>
              <w:t>000</w:t>
            </w:r>
          </w:p>
        </w:tc>
        <w:tc>
          <w:tcPr>
            <w:tcW w:w="1020" w:type="dxa"/>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 xml:space="preserve">230 </w:t>
            </w:r>
            <w:r>
              <w:rPr>
                <w:rFonts w:cs="Arial"/>
                <w:b/>
                <w:sz w:val="16"/>
                <w:szCs w:val="16"/>
              </w:rPr>
              <w:t xml:space="preserve"> </w:t>
            </w:r>
            <w:r w:rsidRPr="00C24253">
              <w:rPr>
                <w:rFonts w:cs="Arial"/>
                <w:b/>
                <w:sz w:val="16"/>
                <w:szCs w:val="16"/>
              </w:rPr>
              <w:t>000</w:t>
            </w:r>
          </w:p>
        </w:tc>
        <w:tc>
          <w:tcPr>
            <w:tcW w:w="1020" w:type="dxa"/>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504 000</w:t>
            </w:r>
          </w:p>
        </w:tc>
        <w:tc>
          <w:tcPr>
            <w:tcW w:w="1020" w:type="dxa"/>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1</w:t>
            </w:r>
            <w:r>
              <w:rPr>
                <w:rFonts w:cs="Arial"/>
                <w:b/>
                <w:sz w:val="16"/>
                <w:szCs w:val="16"/>
              </w:rPr>
              <w:t> </w:t>
            </w:r>
            <w:r w:rsidRPr="00C24253">
              <w:rPr>
                <w:rFonts w:cs="Arial"/>
                <w:b/>
                <w:sz w:val="16"/>
                <w:szCs w:val="16"/>
              </w:rPr>
              <w:t>561</w:t>
            </w:r>
            <w:r>
              <w:rPr>
                <w:rFonts w:cs="Arial"/>
                <w:b/>
                <w:sz w:val="16"/>
                <w:szCs w:val="16"/>
              </w:rPr>
              <w:t xml:space="preserve"> </w:t>
            </w:r>
            <w:r w:rsidRPr="00C24253">
              <w:rPr>
                <w:rFonts w:cs="Arial"/>
                <w:b/>
                <w:sz w:val="16"/>
                <w:szCs w:val="16"/>
              </w:rPr>
              <w:t>000</w:t>
            </w:r>
          </w:p>
        </w:tc>
        <w:tc>
          <w:tcPr>
            <w:tcW w:w="1020" w:type="dxa"/>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151 000</w:t>
            </w:r>
          </w:p>
        </w:tc>
        <w:tc>
          <w:tcPr>
            <w:tcW w:w="1020" w:type="dxa"/>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38 000</w:t>
            </w:r>
          </w:p>
        </w:tc>
        <w:tc>
          <w:tcPr>
            <w:tcW w:w="1020" w:type="dxa"/>
            <w:shd w:val="clear" w:color="auto" w:fill="auto"/>
            <w:noWrap/>
            <w:tcMar>
              <w:left w:w="85" w:type="dxa"/>
              <w:right w:w="0" w:type="dxa"/>
            </w:tcMar>
            <w:vAlign w:val="center"/>
            <w:hideMark/>
          </w:tcPr>
          <w:p w:rsidR="008209EE" w:rsidRPr="00C24253" w:rsidRDefault="008209EE" w:rsidP="00E71B74">
            <w:pPr>
              <w:ind w:right="113"/>
              <w:jc w:val="right"/>
              <w:rPr>
                <w:rFonts w:cs="Arial"/>
                <w:b/>
                <w:sz w:val="16"/>
                <w:szCs w:val="16"/>
              </w:rPr>
            </w:pPr>
            <w:r w:rsidRPr="00C24253">
              <w:rPr>
                <w:rFonts w:cs="Arial"/>
                <w:b/>
                <w:sz w:val="16"/>
                <w:szCs w:val="16"/>
              </w:rPr>
              <w:t>2 519 000</w:t>
            </w:r>
          </w:p>
        </w:tc>
      </w:tr>
    </w:tbl>
    <w:p w:rsidR="00096A9F" w:rsidRPr="00C24253" w:rsidRDefault="00096A9F" w:rsidP="000E6995">
      <w:pPr>
        <w:pStyle w:val="Seznam2"/>
        <w:spacing w:before="360" w:after="120"/>
        <w:ind w:left="0" w:firstLine="0"/>
        <w:jc w:val="both"/>
        <w:rPr>
          <w:rFonts w:ascii="Arial" w:hAnsi="Arial" w:cs="Arial"/>
          <w:sz w:val="20"/>
          <w:szCs w:val="20"/>
        </w:rPr>
      </w:pPr>
      <w:r w:rsidRPr="00C24253">
        <w:rPr>
          <w:rFonts w:ascii="Arial" w:hAnsi="Arial" w:cs="Arial"/>
          <w:sz w:val="20"/>
          <w:szCs w:val="20"/>
        </w:rPr>
        <w:t>Největší část výdajů tvořily výdaje Českého statistického úřadu:</w:t>
      </w:r>
    </w:p>
    <w:p w:rsidR="00096A9F" w:rsidRPr="00C24253" w:rsidRDefault="00096A9F" w:rsidP="00816D46">
      <w:pPr>
        <w:pStyle w:val="odrkyzlevaodsazeno0"/>
      </w:pPr>
      <w:r w:rsidRPr="00C24253">
        <w:t>na přípravu sčítání včetně zkušebního sčítání a další testy zpracování</w:t>
      </w:r>
      <w:r w:rsidR="00D423B3">
        <w:t xml:space="preserve"> dat včetně výdajů na zřízení a </w:t>
      </w:r>
      <w:r w:rsidRPr="00C24253">
        <w:t>provoz dočasných pracovišť,</w:t>
      </w:r>
    </w:p>
    <w:p w:rsidR="00096A9F" w:rsidRPr="00C24253" w:rsidRDefault="00096A9F" w:rsidP="00816D46">
      <w:pPr>
        <w:pStyle w:val="odrkyzlevaodsazeno0"/>
      </w:pPr>
      <w:r w:rsidRPr="00C24253">
        <w:t>na výrobu formulářů a jejich distribuci,</w:t>
      </w:r>
    </w:p>
    <w:p w:rsidR="00096A9F" w:rsidRPr="00C24253" w:rsidRDefault="00096A9F" w:rsidP="00816D46">
      <w:pPr>
        <w:pStyle w:val="odrkyzlevaodsazeno0"/>
      </w:pPr>
      <w:r w:rsidRPr="00C24253">
        <w:t>na smluvní zajištění distribuce a sběru sčítacích formulářů, jejich kontrolu a přejímku,</w:t>
      </w:r>
    </w:p>
    <w:p w:rsidR="00096A9F" w:rsidRPr="00C24253" w:rsidRDefault="00096A9F" w:rsidP="00816D46">
      <w:pPr>
        <w:pStyle w:val="odrkyzlevaodsazeno0"/>
      </w:pPr>
      <w:r w:rsidRPr="00C24253">
        <w:t>na zajištění distribuce a sběru sčítacích formulářů ve sčítacích obvodech v gesci Českého statistického úřadu (velká ubytovací zařízení),</w:t>
      </w:r>
    </w:p>
    <w:p w:rsidR="00096A9F" w:rsidRPr="00C24253" w:rsidRDefault="00096A9F" w:rsidP="00816D46">
      <w:pPr>
        <w:pStyle w:val="odrkyzlevaodsazeno0"/>
      </w:pPr>
      <w:r w:rsidRPr="00C24253">
        <w:t>na zpracování výsledků, tj. výdaje na</w:t>
      </w:r>
      <w:r w:rsidR="008209EE">
        <w:t xml:space="preserve"> </w:t>
      </w:r>
      <w:r w:rsidRPr="00C24253">
        <w:t>zřízení a provoz dočasn</w:t>
      </w:r>
      <w:r w:rsidR="008209EE">
        <w:t>ého pracoviště</w:t>
      </w:r>
      <w:r w:rsidRPr="00C24253">
        <w:t xml:space="preserve"> </w:t>
      </w:r>
      <w:r w:rsidR="008209EE">
        <w:t xml:space="preserve">pro </w:t>
      </w:r>
      <w:r w:rsidRPr="00C24253">
        <w:t>pořízení vstupů, kontrol a zpracování výsledků,</w:t>
      </w:r>
    </w:p>
    <w:p w:rsidR="00096A9F" w:rsidRPr="00C24253" w:rsidRDefault="00096A9F" w:rsidP="00816D46">
      <w:pPr>
        <w:pStyle w:val="odrkyzlevaodsazeno0"/>
      </w:pPr>
      <w:r w:rsidRPr="00C24253">
        <w:t>na mzdy dočasných pracovníků,</w:t>
      </w:r>
    </w:p>
    <w:p w:rsidR="00096A9F" w:rsidRPr="00C24253" w:rsidRDefault="00096A9F" w:rsidP="00816D46">
      <w:pPr>
        <w:pStyle w:val="odrkyzlevaodsazeno0"/>
      </w:pPr>
      <w:r w:rsidRPr="00C24253">
        <w:t>na dočasné rozšíření počtu pracovníků v ústředí Českého statistického úřadu podílejících se na zpracování a vyhodnocení výsledků sčítání,</w:t>
      </w:r>
    </w:p>
    <w:p w:rsidR="00096A9F" w:rsidRPr="00C24253" w:rsidRDefault="00096A9F" w:rsidP="00816D46">
      <w:pPr>
        <w:pStyle w:val="odrkyzlevaodsazeno0"/>
      </w:pPr>
      <w:r w:rsidRPr="00C24253">
        <w:t>na informační kampaň,</w:t>
      </w:r>
    </w:p>
    <w:p w:rsidR="00096A9F" w:rsidRPr="00C24253" w:rsidRDefault="00096A9F" w:rsidP="00816D46">
      <w:pPr>
        <w:pStyle w:val="odrkyzlevaodsazeno0"/>
      </w:pPr>
      <w:r w:rsidRPr="00C24253">
        <w:t>na publikaci a diseminaci výsledků,</w:t>
      </w:r>
    </w:p>
    <w:p w:rsidR="00096A9F" w:rsidRPr="00C24253" w:rsidRDefault="00096A9F" w:rsidP="000E6995">
      <w:pPr>
        <w:pStyle w:val="odrkyzlevaodsazeno0"/>
        <w:spacing w:after="360"/>
      </w:pPr>
      <w:r w:rsidRPr="00C24253">
        <w:t>na ochranu údajů a na další bezpečnostní opatření.</w:t>
      </w:r>
    </w:p>
    <w:p w:rsidR="005018E6" w:rsidRPr="00C24253" w:rsidRDefault="008209EE" w:rsidP="005018E6">
      <w:pPr>
        <w:pStyle w:val="Zkladntext"/>
        <w:ind w:firstLine="0"/>
        <w:rPr>
          <w:b/>
          <w:bCs/>
        </w:rPr>
      </w:pPr>
      <w:r>
        <w:t>C</w:t>
      </w:r>
      <w:r w:rsidR="005018E6" w:rsidRPr="00C24253">
        <w:t xml:space="preserve">elkové výdaje na sčítání lidu, domů a bytů měly činit více než </w:t>
      </w:r>
      <w:r w:rsidR="005018E6" w:rsidRPr="00C24253">
        <w:rPr>
          <w:b/>
          <w:bCs/>
        </w:rPr>
        <w:t xml:space="preserve">2,6 mld. Kč </w:t>
      </w:r>
      <w:r w:rsidR="005018E6" w:rsidRPr="00C24253">
        <w:rPr>
          <w:bCs/>
        </w:rPr>
        <w:t>(v cenách roku 2007).</w:t>
      </w:r>
      <w:r w:rsidR="005018E6" w:rsidRPr="00C24253">
        <w:t xml:space="preserve"> Výdaje byly rozloženy do let 2008 až 2013 s vrcholem v letech 2010 a 2011, kdy proběhla největší část časově koncentrovaných prací vyžadujících dočasné zvýšení počtu pracovníků a věcných i kapitálových výdajů.</w:t>
      </w:r>
      <w:r w:rsidR="005018E6" w:rsidRPr="00C24253">
        <w:rPr>
          <w:b/>
          <w:bCs/>
        </w:rPr>
        <w:t xml:space="preserve"> </w:t>
      </w:r>
      <w:r w:rsidR="005018E6" w:rsidRPr="00C24253">
        <w:rPr>
          <w:bCs/>
        </w:rPr>
        <w:t>Největší část rozpočtu tvořily výdaje ČSÚ.</w:t>
      </w:r>
    </w:p>
    <w:p w:rsidR="005018E6" w:rsidRPr="00C24253" w:rsidRDefault="005018E6" w:rsidP="000E6995">
      <w:pPr>
        <w:pStyle w:val="Pokraovnseznamu2"/>
        <w:ind w:left="0"/>
        <w:contextualSpacing w:val="0"/>
        <w:rPr>
          <w:rFonts w:ascii="Arial" w:hAnsi="Arial" w:cs="Arial"/>
          <w:sz w:val="20"/>
          <w:szCs w:val="20"/>
        </w:rPr>
      </w:pPr>
      <w:r w:rsidRPr="00C24253">
        <w:rPr>
          <w:rFonts w:ascii="Arial" w:hAnsi="Arial" w:cs="Arial"/>
          <w:sz w:val="20"/>
          <w:szCs w:val="20"/>
        </w:rPr>
        <w:t xml:space="preserve">Přidělené prostředky na přípravu, provedení a zpracování výsledků sčítání, jejichž výše byla každoročně zpřesňována, byly účelově vázány pouze na tuto akci a v souladu s rozpočtovou skladbou sledovány ve vazbě na zvláštní rozpočtovou položku. </w:t>
      </w:r>
    </w:p>
    <w:p w:rsidR="000E6995" w:rsidRPr="00C24253" w:rsidRDefault="000E6995" w:rsidP="000E6995">
      <w:pPr>
        <w:pStyle w:val="Normln0"/>
        <w:spacing w:after="120"/>
        <w:jc w:val="both"/>
        <w:rPr>
          <w:rFonts w:cs="Arial"/>
          <w:b/>
          <w:bCs/>
          <w:sz w:val="20"/>
          <w:szCs w:val="20"/>
        </w:rPr>
      </w:pPr>
      <w:r w:rsidRPr="00C24253">
        <w:rPr>
          <w:rFonts w:cs="Arial"/>
          <w:sz w:val="20"/>
          <w:szCs w:val="20"/>
        </w:rPr>
        <w:t xml:space="preserve">V  souvislosti s územní přípravou a vlastním provedením sčítání v terénu byly navýšeny běžné </w:t>
      </w:r>
      <w:r w:rsidRPr="00C24253">
        <w:rPr>
          <w:rFonts w:cs="Arial"/>
          <w:b/>
          <w:sz w:val="20"/>
          <w:szCs w:val="20"/>
        </w:rPr>
        <w:t>výdaje obcí a krajů</w:t>
      </w:r>
      <w:r w:rsidRPr="00C24253">
        <w:rPr>
          <w:rFonts w:cs="Arial"/>
          <w:sz w:val="20"/>
          <w:szCs w:val="20"/>
        </w:rPr>
        <w:t xml:space="preserve"> v letech 2010 a 2011 o </w:t>
      </w:r>
      <w:r w:rsidRPr="00C24253">
        <w:rPr>
          <w:rFonts w:cs="Arial"/>
          <w:b/>
          <w:bCs/>
          <w:sz w:val="20"/>
          <w:szCs w:val="20"/>
        </w:rPr>
        <w:t xml:space="preserve">106 mil. Kč, ale celá částka nebyla vyčerpána. </w:t>
      </w:r>
    </w:p>
    <w:p w:rsidR="005018E6" w:rsidRPr="00C24253" w:rsidRDefault="005018E6" w:rsidP="00B15E3A">
      <w:pPr>
        <w:pStyle w:val="Normln0"/>
        <w:spacing w:before="240" w:after="120"/>
        <w:jc w:val="both"/>
        <w:rPr>
          <w:rFonts w:cs="Arial"/>
          <w:b/>
          <w:bCs/>
          <w:sz w:val="20"/>
          <w:szCs w:val="20"/>
        </w:rPr>
      </w:pPr>
    </w:p>
    <w:p w:rsidR="005018E6" w:rsidRPr="00C24253" w:rsidRDefault="00480A3B" w:rsidP="005018E6">
      <w:pPr>
        <w:pStyle w:val="Zkladntext"/>
        <w:ind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6" type="#_x0000_t75" style="position:absolute;left:0;text-align:left;margin-left:0;margin-top:0;width:282.35pt;height:273.15pt;z-index:-251658752;mso-wrap-distance-left:0;mso-wrap-distance-right:17pt;mso-position-horizontal:left" wrapcoords="-59 61 -59 21479 21600 21479 21600 61 -59 61">
            <v:imagedata r:id="rId9" o:title=""/>
            <w10:wrap type="tight"/>
          </v:shape>
        </w:pict>
      </w:r>
    </w:p>
    <w:p w:rsidR="000E6995" w:rsidRPr="00C24253" w:rsidRDefault="000E6995" w:rsidP="000E6995">
      <w:pPr>
        <w:pStyle w:val="Normln0"/>
        <w:spacing w:after="120"/>
        <w:jc w:val="both"/>
        <w:rPr>
          <w:rFonts w:cs="Arial"/>
          <w:b/>
          <w:bCs/>
          <w:sz w:val="20"/>
          <w:szCs w:val="20"/>
        </w:rPr>
      </w:pPr>
      <w:r w:rsidRPr="00C24253">
        <w:rPr>
          <w:rFonts w:eastAsia="Calibri" w:cs="Arial"/>
          <w:sz w:val="20"/>
          <w:szCs w:val="20"/>
        </w:rPr>
        <w:t>Výdaje byly financovány formou účelové dotace, jejíž čerpání upravila společná směrnice</w:t>
      </w:r>
      <w:r w:rsidR="00D423B3">
        <w:rPr>
          <w:rFonts w:eastAsia="Calibri" w:cs="Arial"/>
          <w:sz w:val="20"/>
          <w:szCs w:val="20"/>
        </w:rPr>
        <w:t xml:space="preserve"> vydaná Ministerstvem financí a </w:t>
      </w:r>
      <w:r w:rsidRPr="00C24253">
        <w:rPr>
          <w:rFonts w:eastAsia="Calibri" w:cs="Arial"/>
          <w:sz w:val="20"/>
          <w:szCs w:val="20"/>
        </w:rPr>
        <w:t>Českým statistickým úřadem.</w:t>
      </w:r>
      <w:r w:rsidRPr="00C24253">
        <w:rPr>
          <w:rFonts w:cs="Arial"/>
          <w:b/>
          <w:bCs/>
          <w:sz w:val="20"/>
          <w:szCs w:val="20"/>
        </w:rPr>
        <w:t xml:space="preserve"> </w:t>
      </w:r>
    </w:p>
    <w:p w:rsidR="000E6995" w:rsidRPr="00C24253" w:rsidRDefault="00096A9F" w:rsidP="005018E6">
      <w:pPr>
        <w:pStyle w:val="Zkladntext"/>
        <w:ind w:firstLine="0"/>
      </w:pPr>
      <w:r w:rsidRPr="00C24253">
        <w:t xml:space="preserve">Ministerstvo financí každoročně schvalovalo v rámci všeobecné pokladní správy </w:t>
      </w:r>
      <w:r w:rsidR="004C3D2C" w:rsidRPr="00C24253">
        <w:t xml:space="preserve">(VPS) </w:t>
      </w:r>
      <w:r w:rsidRPr="00C24253">
        <w:t xml:space="preserve">rozpočet na sčítání. I rozpočtu sčítání se tak dotkly úsporné škrty, které provádělo ministerstvo financí. Např. na rok 2011 byl ministerstvem schválen rozpočet o více než 56 mil. nižší. </w:t>
      </w:r>
    </w:p>
    <w:p w:rsidR="00096A9F" w:rsidRPr="00C24253" w:rsidRDefault="000E6995" w:rsidP="00CD15F2">
      <w:pPr>
        <w:pStyle w:val="Zkladntext"/>
        <w:spacing w:after="240"/>
        <w:ind w:firstLine="0"/>
      </w:pPr>
      <w:r w:rsidRPr="00C24253">
        <w:t xml:space="preserve">Přijetím </w:t>
      </w:r>
      <w:r w:rsidR="00F75E12">
        <w:t>některých</w:t>
      </w:r>
      <w:r w:rsidR="00096A9F" w:rsidRPr="00C24253">
        <w:t xml:space="preserve"> opatření se podařilo i</w:t>
      </w:r>
      <w:r w:rsidR="00F75E12">
        <w:t> </w:t>
      </w:r>
      <w:r w:rsidRPr="00C24253">
        <w:t>v</w:t>
      </w:r>
      <w:r w:rsidR="00F75E12">
        <w:t> </w:t>
      </w:r>
      <w:r w:rsidR="00096A9F" w:rsidRPr="00C24253">
        <w:t xml:space="preserve">roce </w:t>
      </w:r>
      <w:r w:rsidRPr="00C24253">
        <w:t xml:space="preserve">2011 </w:t>
      </w:r>
      <w:r w:rsidR="00D423B3">
        <w:t>uspořit dalších téměř 96 </w:t>
      </w:r>
      <w:r w:rsidR="00096A9F" w:rsidRPr="00C24253">
        <w:t xml:space="preserve">mil. Kč, takže v letech 2012 a 2013 bylo sčítání financováno z úspor roku 2011.To ve svém důsledku znamenalo, že na rozdíl od mnoha jiných projektů </w:t>
      </w:r>
      <w:r w:rsidR="00096A9F" w:rsidRPr="00C24253">
        <w:rPr>
          <w:b/>
        </w:rPr>
        <w:t>bylo při sčítání lidu, domů a bytů dosaž</w:t>
      </w:r>
      <w:r w:rsidR="00D423B3">
        <w:rPr>
          <w:b/>
        </w:rPr>
        <w:t>eno jenom u výdajů ČSÚ téměř 10 </w:t>
      </w:r>
      <w:r w:rsidR="00096A9F" w:rsidRPr="00C24253">
        <w:rPr>
          <w:b/>
        </w:rPr>
        <w:t>% úspory</w:t>
      </w:r>
      <w:r w:rsidR="00096A9F" w:rsidRPr="00C24253">
        <w:t xml:space="preserve"> (téměř 248 mil. Kč) proti schválenému rozpočtu ve věcném záměru zákona.</w:t>
      </w:r>
    </w:p>
    <w:p w:rsidR="00927F72" w:rsidRPr="003A6A00" w:rsidRDefault="00927F72" w:rsidP="00CD15F2">
      <w:pPr>
        <w:spacing w:before="360" w:after="120"/>
        <w:ind w:left="567"/>
        <w:rPr>
          <w:rFonts w:cs="Arial"/>
          <w:b/>
          <w:sz w:val="20"/>
          <w:szCs w:val="20"/>
        </w:rPr>
      </w:pPr>
      <w:r w:rsidRPr="003A6A00">
        <w:rPr>
          <w:rFonts w:cs="Arial"/>
          <w:b/>
          <w:sz w:val="20"/>
          <w:szCs w:val="20"/>
        </w:rPr>
        <w:t>Výdaje ČSÚ na sčítání, lidu, domů a bytů v letech 2008 – 2013 v tis. Kč</w:t>
      </w:r>
    </w:p>
    <w:tbl>
      <w:tblPr>
        <w:tblW w:w="8617" w:type="dxa"/>
        <w:jc w:val="center"/>
        <w:tblLayout w:type="fixed"/>
        <w:tblCellMar>
          <w:left w:w="70" w:type="dxa"/>
          <w:right w:w="70" w:type="dxa"/>
        </w:tblCellMar>
        <w:tblLook w:val="04A0"/>
      </w:tblPr>
      <w:tblGrid>
        <w:gridCol w:w="2211"/>
        <w:gridCol w:w="907"/>
        <w:gridCol w:w="907"/>
        <w:gridCol w:w="907"/>
        <w:gridCol w:w="1078"/>
        <w:gridCol w:w="851"/>
        <w:gridCol w:w="792"/>
        <w:gridCol w:w="964"/>
      </w:tblGrid>
      <w:tr w:rsidR="00927F72" w:rsidRPr="00E31348" w:rsidTr="00974752">
        <w:trPr>
          <w:trHeight w:val="510"/>
          <w:jc w:val="center"/>
        </w:trPr>
        <w:tc>
          <w:tcPr>
            <w:tcW w:w="2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7F72" w:rsidRPr="00E31348" w:rsidRDefault="00927F72" w:rsidP="00974752">
            <w:pPr>
              <w:jc w:val="center"/>
              <w:rPr>
                <w:rFonts w:cs="Arial"/>
                <w:sz w:val="16"/>
                <w:szCs w:val="16"/>
              </w:rPr>
            </w:pPr>
            <w:r w:rsidRPr="00E31348">
              <w:rPr>
                <w:rFonts w:cs="Arial"/>
                <w:sz w:val="16"/>
                <w:szCs w:val="16"/>
              </w:rPr>
              <w:t>Rozpočtová položka</w:t>
            </w:r>
          </w:p>
        </w:tc>
        <w:tc>
          <w:tcPr>
            <w:tcW w:w="907" w:type="dxa"/>
            <w:tcBorders>
              <w:top w:val="single"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center"/>
              <w:rPr>
                <w:rFonts w:cs="Arial"/>
                <w:sz w:val="16"/>
                <w:szCs w:val="16"/>
              </w:rPr>
            </w:pPr>
            <w:r w:rsidRPr="00E31348">
              <w:rPr>
                <w:rFonts w:cs="Arial"/>
                <w:sz w:val="16"/>
                <w:szCs w:val="16"/>
              </w:rPr>
              <w:t>2008</w:t>
            </w:r>
          </w:p>
        </w:tc>
        <w:tc>
          <w:tcPr>
            <w:tcW w:w="907" w:type="dxa"/>
            <w:tcBorders>
              <w:top w:val="single"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center"/>
              <w:rPr>
                <w:rFonts w:cs="Arial"/>
                <w:sz w:val="16"/>
                <w:szCs w:val="16"/>
              </w:rPr>
            </w:pPr>
            <w:r w:rsidRPr="00E31348">
              <w:rPr>
                <w:rFonts w:cs="Arial"/>
                <w:sz w:val="16"/>
                <w:szCs w:val="16"/>
              </w:rPr>
              <w:t>2009</w:t>
            </w:r>
          </w:p>
        </w:tc>
        <w:tc>
          <w:tcPr>
            <w:tcW w:w="907" w:type="dxa"/>
            <w:tcBorders>
              <w:top w:val="single"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center"/>
              <w:rPr>
                <w:rFonts w:cs="Arial"/>
                <w:sz w:val="16"/>
                <w:szCs w:val="16"/>
              </w:rPr>
            </w:pPr>
            <w:r w:rsidRPr="00E31348">
              <w:rPr>
                <w:rFonts w:cs="Arial"/>
                <w:sz w:val="16"/>
                <w:szCs w:val="16"/>
              </w:rPr>
              <w:t>2010</w:t>
            </w:r>
          </w:p>
        </w:tc>
        <w:tc>
          <w:tcPr>
            <w:tcW w:w="1078" w:type="dxa"/>
            <w:tcBorders>
              <w:top w:val="single"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center"/>
              <w:rPr>
                <w:rFonts w:cs="Arial"/>
                <w:sz w:val="16"/>
                <w:szCs w:val="16"/>
              </w:rPr>
            </w:pPr>
            <w:r w:rsidRPr="00E31348">
              <w:rPr>
                <w:rFonts w:cs="Arial"/>
                <w:sz w:val="16"/>
                <w:szCs w:val="16"/>
              </w:rPr>
              <w:t>2011</w:t>
            </w:r>
          </w:p>
        </w:tc>
        <w:tc>
          <w:tcPr>
            <w:tcW w:w="851" w:type="dxa"/>
            <w:tcBorders>
              <w:top w:val="single"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center"/>
              <w:rPr>
                <w:rFonts w:cs="Arial"/>
                <w:sz w:val="16"/>
                <w:szCs w:val="16"/>
              </w:rPr>
            </w:pPr>
            <w:r w:rsidRPr="00E31348">
              <w:rPr>
                <w:rFonts w:cs="Arial"/>
                <w:sz w:val="16"/>
                <w:szCs w:val="16"/>
              </w:rPr>
              <w:t>2012</w:t>
            </w:r>
          </w:p>
        </w:tc>
        <w:tc>
          <w:tcPr>
            <w:tcW w:w="792" w:type="dxa"/>
            <w:tcBorders>
              <w:top w:val="single"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center"/>
              <w:rPr>
                <w:rFonts w:cs="Arial"/>
                <w:sz w:val="16"/>
                <w:szCs w:val="16"/>
              </w:rPr>
            </w:pPr>
            <w:r w:rsidRPr="00E31348">
              <w:rPr>
                <w:rFonts w:cs="Arial"/>
                <w:sz w:val="16"/>
                <w:szCs w:val="16"/>
              </w:rPr>
              <w:t>2013*</w:t>
            </w:r>
          </w:p>
        </w:tc>
        <w:tc>
          <w:tcPr>
            <w:tcW w:w="964" w:type="dxa"/>
            <w:tcBorders>
              <w:top w:val="single" w:sz="4" w:space="0" w:color="auto"/>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center"/>
              <w:rPr>
                <w:rFonts w:cs="Arial"/>
                <w:b/>
                <w:sz w:val="16"/>
                <w:szCs w:val="16"/>
              </w:rPr>
            </w:pPr>
            <w:r w:rsidRPr="00E31348">
              <w:rPr>
                <w:rFonts w:cs="Arial"/>
                <w:b/>
                <w:sz w:val="16"/>
                <w:szCs w:val="16"/>
              </w:rPr>
              <w:t>Výdaje celkem</w:t>
            </w:r>
          </w:p>
        </w:tc>
      </w:tr>
      <w:tr w:rsidR="00927F72" w:rsidRPr="00E31348" w:rsidTr="00974752">
        <w:trPr>
          <w:trHeight w:val="340"/>
          <w:jc w:val="center"/>
        </w:trPr>
        <w:tc>
          <w:tcPr>
            <w:tcW w:w="2211" w:type="dxa"/>
            <w:tcBorders>
              <w:top w:val="single" w:sz="4" w:space="0" w:color="auto"/>
              <w:left w:val="single" w:sz="4" w:space="0" w:color="auto"/>
              <w:right w:val="single" w:sz="4" w:space="0" w:color="auto"/>
            </w:tcBorders>
            <w:shd w:val="clear" w:color="auto" w:fill="auto"/>
            <w:noWrap/>
            <w:vAlign w:val="center"/>
            <w:hideMark/>
          </w:tcPr>
          <w:p w:rsidR="00927F72" w:rsidRPr="00E31348" w:rsidRDefault="00927F72" w:rsidP="00974752">
            <w:pPr>
              <w:jc w:val="left"/>
              <w:rPr>
                <w:rFonts w:cs="Arial"/>
                <w:b/>
                <w:sz w:val="16"/>
                <w:szCs w:val="16"/>
              </w:rPr>
            </w:pPr>
            <w:r w:rsidRPr="00E31348">
              <w:rPr>
                <w:rFonts w:cs="Arial"/>
                <w:b/>
                <w:sz w:val="16"/>
                <w:szCs w:val="16"/>
              </w:rPr>
              <w:t>Výdaje celkem</w:t>
            </w:r>
          </w:p>
        </w:tc>
        <w:tc>
          <w:tcPr>
            <w:tcW w:w="907"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21</w:t>
            </w:r>
            <w:r>
              <w:rPr>
                <w:rFonts w:cs="Arial"/>
                <w:b/>
                <w:sz w:val="16"/>
                <w:szCs w:val="16"/>
              </w:rPr>
              <w:t> </w:t>
            </w:r>
            <w:r w:rsidRPr="00E31348">
              <w:rPr>
                <w:rFonts w:cs="Arial"/>
                <w:b/>
                <w:sz w:val="16"/>
                <w:szCs w:val="16"/>
              </w:rPr>
              <w:t>62</w:t>
            </w:r>
            <w:r>
              <w:rPr>
                <w:rFonts w:cs="Arial"/>
                <w:b/>
                <w:sz w:val="16"/>
                <w:szCs w:val="16"/>
              </w:rPr>
              <w:t>0,7</w:t>
            </w:r>
          </w:p>
        </w:tc>
        <w:tc>
          <w:tcPr>
            <w:tcW w:w="907"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236</w:t>
            </w:r>
            <w:r>
              <w:rPr>
                <w:rFonts w:cs="Arial"/>
                <w:b/>
                <w:sz w:val="16"/>
                <w:szCs w:val="16"/>
              </w:rPr>
              <w:t> </w:t>
            </w:r>
            <w:r w:rsidRPr="00E31348">
              <w:rPr>
                <w:rFonts w:cs="Arial"/>
                <w:b/>
                <w:sz w:val="16"/>
                <w:szCs w:val="16"/>
              </w:rPr>
              <w:t>70</w:t>
            </w:r>
            <w:r>
              <w:rPr>
                <w:rFonts w:cs="Arial"/>
                <w:b/>
                <w:sz w:val="16"/>
                <w:szCs w:val="16"/>
              </w:rPr>
              <w:t>0,8</w:t>
            </w:r>
          </w:p>
        </w:tc>
        <w:tc>
          <w:tcPr>
            <w:tcW w:w="907"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507</w:t>
            </w:r>
            <w:r>
              <w:rPr>
                <w:rFonts w:cs="Arial"/>
                <w:b/>
                <w:sz w:val="16"/>
                <w:szCs w:val="16"/>
              </w:rPr>
              <w:t> </w:t>
            </w:r>
            <w:r w:rsidRPr="00E31348">
              <w:rPr>
                <w:rFonts w:cs="Arial"/>
                <w:b/>
                <w:sz w:val="16"/>
                <w:szCs w:val="16"/>
              </w:rPr>
              <w:t>68</w:t>
            </w:r>
            <w:r>
              <w:rPr>
                <w:rFonts w:cs="Arial"/>
                <w:b/>
                <w:sz w:val="16"/>
                <w:szCs w:val="16"/>
              </w:rPr>
              <w:t>7,</w:t>
            </w:r>
            <w:r w:rsidRPr="00E31348">
              <w:rPr>
                <w:rFonts w:cs="Arial"/>
                <w:b/>
                <w:sz w:val="16"/>
                <w:szCs w:val="16"/>
              </w:rPr>
              <w:t>8</w:t>
            </w:r>
          </w:p>
        </w:tc>
        <w:tc>
          <w:tcPr>
            <w:tcW w:w="1078"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1 409</w:t>
            </w:r>
            <w:r>
              <w:rPr>
                <w:rFonts w:cs="Arial"/>
                <w:b/>
                <w:sz w:val="16"/>
                <w:szCs w:val="16"/>
              </w:rPr>
              <w:t> </w:t>
            </w:r>
            <w:r w:rsidRPr="00E31348">
              <w:rPr>
                <w:rFonts w:cs="Arial"/>
                <w:b/>
                <w:sz w:val="16"/>
                <w:szCs w:val="16"/>
              </w:rPr>
              <w:t>13</w:t>
            </w:r>
            <w:r>
              <w:rPr>
                <w:rFonts w:cs="Arial"/>
                <w:b/>
                <w:sz w:val="16"/>
                <w:szCs w:val="16"/>
              </w:rPr>
              <w:t>4,6</w:t>
            </w:r>
          </w:p>
        </w:tc>
        <w:tc>
          <w:tcPr>
            <w:tcW w:w="851"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66</w:t>
            </w:r>
            <w:r>
              <w:rPr>
                <w:rFonts w:cs="Arial"/>
                <w:b/>
                <w:sz w:val="16"/>
                <w:szCs w:val="16"/>
              </w:rPr>
              <w:t> </w:t>
            </w:r>
            <w:r w:rsidRPr="00E31348">
              <w:rPr>
                <w:rFonts w:cs="Arial"/>
                <w:b/>
                <w:sz w:val="16"/>
                <w:szCs w:val="16"/>
              </w:rPr>
              <w:t>915</w:t>
            </w:r>
            <w:r>
              <w:rPr>
                <w:rFonts w:cs="Arial"/>
                <w:b/>
                <w:sz w:val="16"/>
                <w:szCs w:val="16"/>
              </w:rPr>
              <w:t>,1</w:t>
            </w:r>
          </w:p>
        </w:tc>
        <w:tc>
          <w:tcPr>
            <w:tcW w:w="792"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29</w:t>
            </w:r>
            <w:r>
              <w:rPr>
                <w:rFonts w:cs="Arial"/>
                <w:b/>
                <w:sz w:val="16"/>
                <w:szCs w:val="16"/>
              </w:rPr>
              <w:t> </w:t>
            </w:r>
            <w:r w:rsidRPr="00E31348">
              <w:rPr>
                <w:rFonts w:cs="Arial"/>
                <w:b/>
                <w:sz w:val="16"/>
                <w:szCs w:val="16"/>
              </w:rPr>
              <w:t>483</w:t>
            </w:r>
            <w:r>
              <w:rPr>
                <w:rFonts w:cs="Arial"/>
                <w:b/>
                <w:sz w:val="16"/>
                <w:szCs w:val="16"/>
              </w:rPr>
              <w:t>,3</w:t>
            </w:r>
          </w:p>
        </w:tc>
        <w:tc>
          <w:tcPr>
            <w:tcW w:w="964"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2 271</w:t>
            </w:r>
            <w:r>
              <w:rPr>
                <w:rFonts w:cs="Arial"/>
                <w:b/>
                <w:sz w:val="16"/>
                <w:szCs w:val="16"/>
              </w:rPr>
              <w:t> </w:t>
            </w:r>
            <w:r w:rsidRPr="00E31348">
              <w:rPr>
                <w:rFonts w:cs="Arial"/>
                <w:b/>
                <w:sz w:val="16"/>
                <w:szCs w:val="16"/>
              </w:rPr>
              <w:t>54</w:t>
            </w:r>
            <w:r>
              <w:rPr>
                <w:rFonts w:cs="Arial"/>
                <w:b/>
                <w:sz w:val="16"/>
                <w:szCs w:val="16"/>
              </w:rPr>
              <w:t>2,3</w:t>
            </w:r>
          </w:p>
        </w:tc>
      </w:tr>
      <w:tr w:rsidR="00927F72" w:rsidRPr="00E31348" w:rsidTr="00974752">
        <w:trPr>
          <w:trHeight w:val="340"/>
          <w:jc w:val="center"/>
        </w:trPr>
        <w:tc>
          <w:tcPr>
            <w:tcW w:w="2211" w:type="dxa"/>
            <w:tcBorders>
              <w:top w:val="single" w:sz="4" w:space="0" w:color="auto"/>
              <w:left w:val="single" w:sz="4" w:space="0" w:color="auto"/>
              <w:right w:val="single" w:sz="4" w:space="0" w:color="auto"/>
            </w:tcBorders>
            <w:shd w:val="clear" w:color="auto" w:fill="auto"/>
            <w:noWrap/>
            <w:vAlign w:val="center"/>
            <w:hideMark/>
          </w:tcPr>
          <w:p w:rsidR="00927F72" w:rsidRPr="00E31348" w:rsidRDefault="00927F72" w:rsidP="00974752">
            <w:pPr>
              <w:jc w:val="left"/>
              <w:rPr>
                <w:rFonts w:cs="Arial"/>
                <w:sz w:val="16"/>
                <w:szCs w:val="16"/>
              </w:rPr>
            </w:pPr>
            <w:r w:rsidRPr="00E31348">
              <w:rPr>
                <w:rFonts w:cs="Arial"/>
                <w:sz w:val="16"/>
                <w:szCs w:val="16"/>
              </w:rPr>
              <w:t>Běžné výdaje celkem</w:t>
            </w:r>
          </w:p>
        </w:tc>
        <w:tc>
          <w:tcPr>
            <w:tcW w:w="907"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21</w:t>
            </w:r>
            <w:r>
              <w:rPr>
                <w:rFonts w:cs="Arial"/>
                <w:sz w:val="16"/>
                <w:szCs w:val="16"/>
              </w:rPr>
              <w:t> </w:t>
            </w:r>
            <w:r w:rsidRPr="00E31348">
              <w:rPr>
                <w:rFonts w:cs="Arial"/>
                <w:sz w:val="16"/>
                <w:szCs w:val="16"/>
              </w:rPr>
              <w:t>081</w:t>
            </w:r>
            <w:r>
              <w:rPr>
                <w:rFonts w:cs="Arial"/>
                <w:sz w:val="16"/>
                <w:szCs w:val="16"/>
              </w:rPr>
              <w:t>,3</w:t>
            </w:r>
          </w:p>
        </w:tc>
        <w:tc>
          <w:tcPr>
            <w:tcW w:w="907"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188</w:t>
            </w:r>
            <w:r>
              <w:rPr>
                <w:rFonts w:cs="Arial"/>
                <w:sz w:val="16"/>
                <w:szCs w:val="16"/>
              </w:rPr>
              <w:t> </w:t>
            </w:r>
            <w:r w:rsidRPr="00E31348">
              <w:rPr>
                <w:rFonts w:cs="Arial"/>
                <w:sz w:val="16"/>
                <w:szCs w:val="16"/>
              </w:rPr>
              <w:t>464</w:t>
            </w:r>
            <w:r>
              <w:rPr>
                <w:rFonts w:cs="Arial"/>
                <w:sz w:val="16"/>
                <w:szCs w:val="16"/>
              </w:rPr>
              <w:t>,1</w:t>
            </w:r>
          </w:p>
        </w:tc>
        <w:tc>
          <w:tcPr>
            <w:tcW w:w="907"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503</w:t>
            </w:r>
            <w:r>
              <w:rPr>
                <w:rFonts w:cs="Arial"/>
                <w:sz w:val="16"/>
                <w:szCs w:val="16"/>
              </w:rPr>
              <w:t> </w:t>
            </w:r>
            <w:r w:rsidRPr="00E31348">
              <w:rPr>
                <w:rFonts w:cs="Arial"/>
                <w:sz w:val="16"/>
                <w:szCs w:val="16"/>
              </w:rPr>
              <w:t>145</w:t>
            </w:r>
            <w:r>
              <w:rPr>
                <w:rFonts w:cs="Arial"/>
                <w:sz w:val="16"/>
                <w:szCs w:val="16"/>
              </w:rPr>
              <w:t>,3</w:t>
            </w:r>
          </w:p>
        </w:tc>
        <w:tc>
          <w:tcPr>
            <w:tcW w:w="1078"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1 409</w:t>
            </w:r>
            <w:r>
              <w:rPr>
                <w:rFonts w:cs="Arial"/>
                <w:sz w:val="16"/>
                <w:szCs w:val="16"/>
              </w:rPr>
              <w:t> </w:t>
            </w:r>
            <w:r w:rsidRPr="00E31348">
              <w:rPr>
                <w:rFonts w:cs="Arial"/>
                <w:sz w:val="16"/>
                <w:szCs w:val="16"/>
              </w:rPr>
              <w:t>13</w:t>
            </w:r>
            <w:r>
              <w:rPr>
                <w:rFonts w:cs="Arial"/>
                <w:sz w:val="16"/>
                <w:szCs w:val="16"/>
              </w:rPr>
              <w:t>4,6</w:t>
            </w:r>
          </w:p>
        </w:tc>
        <w:tc>
          <w:tcPr>
            <w:tcW w:w="851"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66</w:t>
            </w:r>
            <w:r>
              <w:rPr>
                <w:rFonts w:cs="Arial"/>
                <w:sz w:val="16"/>
                <w:szCs w:val="16"/>
              </w:rPr>
              <w:t> </w:t>
            </w:r>
            <w:r w:rsidRPr="00E31348">
              <w:rPr>
                <w:rFonts w:cs="Arial"/>
                <w:sz w:val="16"/>
                <w:szCs w:val="16"/>
              </w:rPr>
              <w:t>915</w:t>
            </w:r>
            <w:r>
              <w:rPr>
                <w:rFonts w:cs="Arial"/>
                <w:sz w:val="16"/>
                <w:szCs w:val="16"/>
              </w:rPr>
              <w:t>,1</w:t>
            </w:r>
          </w:p>
        </w:tc>
        <w:tc>
          <w:tcPr>
            <w:tcW w:w="792"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29</w:t>
            </w:r>
            <w:r>
              <w:rPr>
                <w:rFonts w:cs="Arial"/>
                <w:sz w:val="16"/>
                <w:szCs w:val="16"/>
              </w:rPr>
              <w:t> </w:t>
            </w:r>
            <w:r w:rsidRPr="00E31348">
              <w:rPr>
                <w:rFonts w:cs="Arial"/>
                <w:sz w:val="16"/>
                <w:szCs w:val="16"/>
              </w:rPr>
              <w:t>483</w:t>
            </w:r>
            <w:r>
              <w:rPr>
                <w:rFonts w:cs="Arial"/>
                <w:sz w:val="16"/>
                <w:szCs w:val="16"/>
              </w:rPr>
              <w:t>,3</w:t>
            </w:r>
          </w:p>
        </w:tc>
        <w:tc>
          <w:tcPr>
            <w:tcW w:w="964" w:type="dxa"/>
            <w:tcBorders>
              <w:top w:val="single" w:sz="4" w:space="0" w:color="auto"/>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2 218</w:t>
            </w:r>
            <w:r>
              <w:rPr>
                <w:rFonts w:cs="Arial"/>
                <w:b/>
                <w:sz w:val="16"/>
                <w:szCs w:val="16"/>
              </w:rPr>
              <w:t> </w:t>
            </w:r>
            <w:r w:rsidRPr="00E31348">
              <w:rPr>
                <w:rFonts w:cs="Arial"/>
                <w:b/>
                <w:sz w:val="16"/>
                <w:szCs w:val="16"/>
              </w:rPr>
              <w:t>223</w:t>
            </w:r>
            <w:r>
              <w:rPr>
                <w:rFonts w:cs="Arial"/>
                <w:b/>
                <w:sz w:val="16"/>
                <w:szCs w:val="16"/>
              </w:rPr>
              <w:t>,7</w:t>
            </w:r>
          </w:p>
        </w:tc>
      </w:tr>
      <w:tr w:rsidR="00927F72" w:rsidRPr="00E31348" w:rsidTr="00974752">
        <w:trPr>
          <w:trHeight w:val="170"/>
          <w:jc w:val="center"/>
        </w:trPr>
        <w:tc>
          <w:tcPr>
            <w:tcW w:w="2211" w:type="dxa"/>
            <w:tcBorders>
              <w:top w:val="nil"/>
              <w:left w:val="single" w:sz="4" w:space="0" w:color="auto"/>
              <w:right w:val="single" w:sz="4" w:space="0" w:color="auto"/>
            </w:tcBorders>
            <w:shd w:val="clear" w:color="auto" w:fill="auto"/>
            <w:noWrap/>
            <w:vAlign w:val="center"/>
            <w:hideMark/>
          </w:tcPr>
          <w:p w:rsidR="00927F72" w:rsidRPr="00E31348" w:rsidRDefault="00927F72" w:rsidP="00974752">
            <w:pPr>
              <w:jc w:val="left"/>
              <w:rPr>
                <w:rFonts w:cs="Arial"/>
                <w:sz w:val="16"/>
                <w:szCs w:val="16"/>
              </w:rPr>
            </w:pPr>
            <w:r w:rsidRPr="00E31348">
              <w:rPr>
                <w:rFonts w:cs="Arial"/>
                <w:sz w:val="16"/>
                <w:szCs w:val="16"/>
              </w:rPr>
              <w:t>z toho:</w:t>
            </w:r>
          </w:p>
        </w:tc>
        <w:tc>
          <w:tcPr>
            <w:tcW w:w="907"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p>
        </w:tc>
        <w:tc>
          <w:tcPr>
            <w:tcW w:w="907"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p>
        </w:tc>
        <w:tc>
          <w:tcPr>
            <w:tcW w:w="907"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p>
        </w:tc>
        <w:tc>
          <w:tcPr>
            <w:tcW w:w="1078"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p>
        </w:tc>
        <w:tc>
          <w:tcPr>
            <w:tcW w:w="851"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p>
        </w:tc>
        <w:tc>
          <w:tcPr>
            <w:tcW w:w="792"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p>
        </w:tc>
        <w:tc>
          <w:tcPr>
            <w:tcW w:w="964"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p>
        </w:tc>
      </w:tr>
      <w:tr w:rsidR="00927F72" w:rsidRPr="00E31348" w:rsidTr="00974752">
        <w:trPr>
          <w:trHeight w:val="340"/>
          <w:jc w:val="center"/>
        </w:trPr>
        <w:tc>
          <w:tcPr>
            <w:tcW w:w="2211" w:type="dxa"/>
            <w:tcBorders>
              <w:top w:val="nil"/>
              <w:left w:val="single" w:sz="4" w:space="0" w:color="auto"/>
              <w:right w:val="single" w:sz="4" w:space="0" w:color="auto"/>
            </w:tcBorders>
            <w:shd w:val="clear" w:color="auto" w:fill="auto"/>
            <w:noWrap/>
            <w:vAlign w:val="center"/>
            <w:hideMark/>
          </w:tcPr>
          <w:p w:rsidR="00927F72" w:rsidRPr="00E31348" w:rsidRDefault="00927F72" w:rsidP="00974752">
            <w:pPr>
              <w:ind w:left="113"/>
              <w:jc w:val="left"/>
              <w:rPr>
                <w:rFonts w:cs="Arial"/>
                <w:sz w:val="16"/>
                <w:szCs w:val="16"/>
              </w:rPr>
            </w:pPr>
            <w:r w:rsidRPr="00E31348">
              <w:rPr>
                <w:rFonts w:cs="Arial"/>
                <w:sz w:val="16"/>
                <w:szCs w:val="16"/>
              </w:rPr>
              <w:t>osobní výdaje</w:t>
            </w:r>
          </w:p>
        </w:tc>
        <w:tc>
          <w:tcPr>
            <w:tcW w:w="907"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5</w:t>
            </w:r>
            <w:r>
              <w:rPr>
                <w:rFonts w:cs="Arial"/>
                <w:sz w:val="16"/>
                <w:szCs w:val="16"/>
              </w:rPr>
              <w:t> </w:t>
            </w:r>
            <w:r w:rsidRPr="00E31348">
              <w:rPr>
                <w:rFonts w:cs="Arial"/>
                <w:sz w:val="16"/>
                <w:szCs w:val="16"/>
              </w:rPr>
              <w:t>93</w:t>
            </w:r>
            <w:r>
              <w:rPr>
                <w:rFonts w:cs="Arial"/>
                <w:sz w:val="16"/>
                <w:szCs w:val="16"/>
              </w:rPr>
              <w:t>6,</w:t>
            </w:r>
            <w:r w:rsidRPr="00E31348">
              <w:rPr>
                <w:rFonts w:cs="Arial"/>
                <w:sz w:val="16"/>
                <w:szCs w:val="16"/>
              </w:rPr>
              <w:t>7</w:t>
            </w:r>
          </w:p>
        </w:tc>
        <w:tc>
          <w:tcPr>
            <w:tcW w:w="907"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44</w:t>
            </w:r>
            <w:r>
              <w:rPr>
                <w:rFonts w:cs="Arial"/>
                <w:sz w:val="16"/>
                <w:szCs w:val="16"/>
              </w:rPr>
              <w:t> </w:t>
            </w:r>
            <w:r w:rsidRPr="00E31348">
              <w:rPr>
                <w:rFonts w:cs="Arial"/>
                <w:sz w:val="16"/>
                <w:szCs w:val="16"/>
              </w:rPr>
              <w:t>62</w:t>
            </w:r>
            <w:r>
              <w:rPr>
                <w:rFonts w:cs="Arial"/>
                <w:sz w:val="16"/>
                <w:szCs w:val="16"/>
              </w:rPr>
              <w:t>1,6</w:t>
            </w:r>
          </w:p>
        </w:tc>
        <w:tc>
          <w:tcPr>
            <w:tcW w:w="907"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120</w:t>
            </w:r>
            <w:r>
              <w:rPr>
                <w:rFonts w:cs="Arial"/>
                <w:sz w:val="16"/>
                <w:szCs w:val="16"/>
              </w:rPr>
              <w:t> </w:t>
            </w:r>
            <w:r w:rsidRPr="00E31348">
              <w:rPr>
                <w:rFonts w:cs="Arial"/>
                <w:sz w:val="16"/>
                <w:szCs w:val="16"/>
              </w:rPr>
              <w:t>238</w:t>
            </w:r>
            <w:r>
              <w:rPr>
                <w:rFonts w:cs="Arial"/>
                <w:sz w:val="16"/>
                <w:szCs w:val="16"/>
              </w:rPr>
              <w:t>,5</w:t>
            </w:r>
          </w:p>
        </w:tc>
        <w:tc>
          <w:tcPr>
            <w:tcW w:w="1078"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150</w:t>
            </w:r>
            <w:r>
              <w:rPr>
                <w:rFonts w:cs="Arial"/>
                <w:sz w:val="16"/>
                <w:szCs w:val="16"/>
              </w:rPr>
              <w:t> </w:t>
            </w:r>
            <w:r w:rsidRPr="00E31348">
              <w:rPr>
                <w:rFonts w:cs="Arial"/>
                <w:sz w:val="16"/>
                <w:szCs w:val="16"/>
              </w:rPr>
              <w:t>893</w:t>
            </w:r>
            <w:r>
              <w:rPr>
                <w:rFonts w:cs="Arial"/>
                <w:sz w:val="16"/>
                <w:szCs w:val="16"/>
              </w:rPr>
              <w:t>,0</w:t>
            </w:r>
          </w:p>
        </w:tc>
        <w:tc>
          <w:tcPr>
            <w:tcW w:w="851"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36</w:t>
            </w:r>
            <w:r>
              <w:rPr>
                <w:rFonts w:cs="Arial"/>
                <w:sz w:val="16"/>
                <w:szCs w:val="16"/>
              </w:rPr>
              <w:t> </w:t>
            </w:r>
            <w:r w:rsidRPr="00E31348">
              <w:rPr>
                <w:rFonts w:cs="Arial"/>
                <w:sz w:val="16"/>
                <w:szCs w:val="16"/>
              </w:rPr>
              <w:t>368</w:t>
            </w:r>
            <w:r>
              <w:rPr>
                <w:rFonts w:cs="Arial"/>
                <w:sz w:val="16"/>
                <w:szCs w:val="16"/>
              </w:rPr>
              <w:t>,5</w:t>
            </w:r>
          </w:p>
        </w:tc>
        <w:tc>
          <w:tcPr>
            <w:tcW w:w="792"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12</w:t>
            </w:r>
            <w:r>
              <w:rPr>
                <w:rFonts w:cs="Arial"/>
                <w:sz w:val="16"/>
                <w:szCs w:val="16"/>
              </w:rPr>
              <w:t> </w:t>
            </w:r>
            <w:r w:rsidRPr="00E31348">
              <w:rPr>
                <w:rFonts w:cs="Arial"/>
                <w:sz w:val="16"/>
                <w:szCs w:val="16"/>
              </w:rPr>
              <w:t>895</w:t>
            </w:r>
            <w:r>
              <w:rPr>
                <w:rFonts w:cs="Arial"/>
                <w:sz w:val="16"/>
                <w:szCs w:val="16"/>
              </w:rPr>
              <w:t>,4</w:t>
            </w:r>
          </w:p>
        </w:tc>
        <w:tc>
          <w:tcPr>
            <w:tcW w:w="964" w:type="dxa"/>
            <w:tcBorders>
              <w:top w:val="nil"/>
              <w:left w:val="nil"/>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370</w:t>
            </w:r>
            <w:r>
              <w:rPr>
                <w:rFonts w:cs="Arial"/>
                <w:b/>
                <w:sz w:val="16"/>
                <w:szCs w:val="16"/>
              </w:rPr>
              <w:t> </w:t>
            </w:r>
            <w:r w:rsidRPr="00E31348">
              <w:rPr>
                <w:rFonts w:cs="Arial"/>
                <w:b/>
                <w:sz w:val="16"/>
                <w:szCs w:val="16"/>
              </w:rPr>
              <w:t>954</w:t>
            </w:r>
            <w:r>
              <w:rPr>
                <w:rFonts w:cs="Arial"/>
                <w:b/>
                <w:sz w:val="16"/>
                <w:szCs w:val="16"/>
              </w:rPr>
              <w:t>,7</w:t>
            </w:r>
          </w:p>
        </w:tc>
      </w:tr>
      <w:tr w:rsidR="00927F72" w:rsidRPr="00E31348" w:rsidTr="00974752">
        <w:trPr>
          <w:trHeight w:val="340"/>
          <w:jc w:val="center"/>
        </w:trPr>
        <w:tc>
          <w:tcPr>
            <w:tcW w:w="2211" w:type="dxa"/>
            <w:tcBorders>
              <w:top w:val="nil"/>
              <w:left w:val="single" w:sz="4" w:space="0" w:color="auto"/>
              <w:bottom w:val="single" w:sz="4" w:space="0" w:color="auto"/>
              <w:right w:val="single" w:sz="4" w:space="0" w:color="auto"/>
            </w:tcBorders>
            <w:shd w:val="clear" w:color="auto" w:fill="auto"/>
            <w:noWrap/>
            <w:vAlign w:val="center"/>
            <w:hideMark/>
          </w:tcPr>
          <w:p w:rsidR="00927F72" w:rsidRPr="00E31348" w:rsidRDefault="00927F72" w:rsidP="00974752">
            <w:pPr>
              <w:jc w:val="left"/>
              <w:rPr>
                <w:rFonts w:cs="Arial"/>
                <w:sz w:val="16"/>
                <w:szCs w:val="16"/>
              </w:rPr>
            </w:pPr>
            <w:r w:rsidRPr="00E31348">
              <w:rPr>
                <w:rFonts w:cs="Arial"/>
                <w:sz w:val="16"/>
                <w:szCs w:val="16"/>
              </w:rPr>
              <w:t>Kapitálové výdaje celkem</w:t>
            </w:r>
          </w:p>
        </w:tc>
        <w:tc>
          <w:tcPr>
            <w:tcW w:w="907" w:type="dxa"/>
            <w:tcBorders>
              <w:top w:val="nil"/>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539</w:t>
            </w:r>
            <w:r>
              <w:rPr>
                <w:rFonts w:cs="Arial"/>
                <w:sz w:val="16"/>
                <w:szCs w:val="16"/>
              </w:rPr>
              <w:t>,4</w:t>
            </w:r>
          </w:p>
        </w:tc>
        <w:tc>
          <w:tcPr>
            <w:tcW w:w="907" w:type="dxa"/>
            <w:tcBorders>
              <w:top w:val="nil"/>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48</w:t>
            </w:r>
            <w:r>
              <w:rPr>
                <w:rFonts w:cs="Arial"/>
                <w:sz w:val="16"/>
                <w:szCs w:val="16"/>
              </w:rPr>
              <w:t> </w:t>
            </w:r>
            <w:r w:rsidRPr="00E31348">
              <w:rPr>
                <w:rFonts w:cs="Arial"/>
                <w:sz w:val="16"/>
                <w:szCs w:val="16"/>
              </w:rPr>
              <w:t>23</w:t>
            </w:r>
            <w:r>
              <w:rPr>
                <w:rFonts w:cs="Arial"/>
                <w:sz w:val="16"/>
                <w:szCs w:val="16"/>
              </w:rPr>
              <w:t>6,7</w:t>
            </w:r>
          </w:p>
        </w:tc>
        <w:tc>
          <w:tcPr>
            <w:tcW w:w="907" w:type="dxa"/>
            <w:tcBorders>
              <w:top w:val="nil"/>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4</w:t>
            </w:r>
            <w:r>
              <w:rPr>
                <w:rFonts w:cs="Arial"/>
                <w:sz w:val="16"/>
                <w:szCs w:val="16"/>
              </w:rPr>
              <w:t> </w:t>
            </w:r>
            <w:r w:rsidRPr="00E31348">
              <w:rPr>
                <w:rFonts w:cs="Arial"/>
                <w:sz w:val="16"/>
                <w:szCs w:val="16"/>
              </w:rPr>
              <w:t>54</w:t>
            </w:r>
            <w:r>
              <w:rPr>
                <w:rFonts w:cs="Arial"/>
                <w:sz w:val="16"/>
                <w:szCs w:val="16"/>
              </w:rPr>
              <w:t>2,5</w:t>
            </w:r>
          </w:p>
        </w:tc>
        <w:tc>
          <w:tcPr>
            <w:tcW w:w="1078" w:type="dxa"/>
            <w:tcBorders>
              <w:top w:val="nil"/>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w:t>
            </w:r>
          </w:p>
        </w:tc>
        <w:tc>
          <w:tcPr>
            <w:tcW w:w="851" w:type="dxa"/>
            <w:tcBorders>
              <w:top w:val="nil"/>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w:t>
            </w:r>
          </w:p>
        </w:tc>
        <w:tc>
          <w:tcPr>
            <w:tcW w:w="792" w:type="dxa"/>
            <w:tcBorders>
              <w:top w:val="nil"/>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sz w:val="16"/>
                <w:szCs w:val="16"/>
              </w:rPr>
            </w:pPr>
            <w:r w:rsidRPr="00E31348">
              <w:rPr>
                <w:rFonts w:cs="Arial"/>
                <w:sz w:val="16"/>
                <w:szCs w:val="16"/>
              </w:rPr>
              <w:t>-</w:t>
            </w:r>
          </w:p>
        </w:tc>
        <w:tc>
          <w:tcPr>
            <w:tcW w:w="964" w:type="dxa"/>
            <w:tcBorders>
              <w:top w:val="nil"/>
              <w:left w:val="nil"/>
              <w:bottom w:val="single" w:sz="4" w:space="0" w:color="auto"/>
              <w:right w:val="single" w:sz="4" w:space="0" w:color="auto"/>
            </w:tcBorders>
            <w:shd w:val="clear" w:color="auto" w:fill="auto"/>
            <w:noWrap/>
            <w:tcMar>
              <w:left w:w="0" w:type="dxa"/>
              <w:right w:w="113" w:type="dxa"/>
            </w:tcMar>
            <w:vAlign w:val="center"/>
            <w:hideMark/>
          </w:tcPr>
          <w:p w:rsidR="00927F72" w:rsidRPr="00E31348" w:rsidRDefault="00927F72" w:rsidP="00974752">
            <w:pPr>
              <w:jc w:val="right"/>
              <w:rPr>
                <w:rFonts w:cs="Arial"/>
                <w:b/>
                <w:sz w:val="16"/>
                <w:szCs w:val="16"/>
              </w:rPr>
            </w:pPr>
            <w:r w:rsidRPr="00E31348">
              <w:rPr>
                <w:rFonts w:cs="Arial"/>
                <w:b/>
                <w:sz w:val="16"/>
                <w:szCs w:val="16"/>
              </w:rPr>
              <w:t>53</w:t>
            </w:r>
            <w:r>
              <w:rPr>
                <w:rFonts w:cs="Arial"/>
                <w:b/>
                <w:sz w:val="16"/>
                <w:szCs w:val="16"/>
              </w:rPr>
              <w:t> </w:t>
            </w:r>
            <w:r w:rsidRPr="00E31348">
              <w:rPr>
                <w:rFonts w:cs="Arial"/>
                <w:b/>
                <w:sz w:val="16"/>
                <w:szCs w:val="16"/>
              </w:rPr>
              <w:t>31</w:t>
            </w:r>
            <w:r>
              <w:rPr>
                <w:rFonts w:cs="Arial"/>
                <w:b/>
                <w:sz w:val="16"/>
                <w:szCs w:val="16"/>
              </w:rPr>
              <w:t>8,6</w:t>
            </w:r>
          </w:p>
        </w:tc>
      </w:tr>
    </w:tbl>
    <w:p w:rsidR="00927F72" w:rsidRPr="00C24253" w:rsidRDefault="00927F72" w:rsidP="00927F72">
      <w:pPr>
        <w:spacing w:before="120" w:after="360"/>
        <w:ind w:left="567"/>
        <w:rPr>
          <w:rFonts w:cs="Arial"/>
          <w:sz w:val="18"/>
          <w:szCs w:val="18"/>
        </w:rPr>
      </w:pPr>
      <w:r w:rsidRPr="00E31348">
        <w:rPr>
          <w:rFonts w:cs="Arial"/>
          <w:sz w:val="18"/>
          <w:szCs w:val="18"/>
        </w:rPr>
        <w:t>* očekávaná skutečnost</w:t>
      </w:r>
    </w:p>
    <w:p w:rsidR="00096A9F" w:rsidRPr="00C24253" w:rsidRDefault="00096A9F" w:rsidP="000E6995">
      <w:pPr>
        <w:pStyle w:val="Zkladntext"/>
        <w:spacing w:before="120"/>
        <w:ind w:firstLine="0"/>
      </w:pPr>
      <w:r w:rsidRPr="00C24253">
        <w:t>Dosažené náklady jsou přiměřené očekávaným přínosům sčítání. Čerpání roku 2013 ještě nebylo v době vydání publikace dokončeno. Celkové vyúčtování bude provedeno začátkem roku 2014.</w:t>
      </w:r>
    </w:p>
    <w:p w:rsidR="00CA3676" w:rsidRPr="00C24253" w:rsidRDefault="00096A9F" w:rsidP="00096A9F">
      <w:pPr>
        <w:pStyle w:val="GroupWiseView"/>
        <w:tabs>
          <w:tab w:val="left" w:pos="1500"/>
          <w:tab w:val="left" w:pos="3000"/>
        </w:tabs>
        <w:spacing w:after="120"/>
        <w:jc w:val="both"/>
        <w:rPr>
          <w:rFonts w:ascii="Arial" w:hAnsi="Arial" w:cs="Arial"/>
          <w:sz w:val="20"/>
          <w:szCs w:val="20"/>
        </w:rPr>
      </w:pPr>
      <w:r w:rsidRPr="00C24253">
        <w:rPr>
          <w:rFonts w:ascii="Arial" w:hAnsi="Arial" w:cs="Arial"/>
          <w:bCs/>
          <w:sz w:val="20"/>
          <w:szCs w:val="20"/>
        </w:rPr>
        <w:t xml:space="preserve">Nejvyšší úspory byly dosaženy </w:t>
      </w:r>
      <w:r w:rsidRPr="00C24253">
        <w:rPr>
          <w:rFonts w:ascii="Arial" w:hAnsi="Arial" w:cs="Arial"/>
          <w:b/>
          <w:bCs/>
          <w:sz w:val="20"/>
          <w:szCs w:val="20"/>
        </w:rPr>
        <w:t>v osobních nákladech</w:t>
      </w:r>
      <w:r w:rsidRPr="00C24253">
        <w:rPr>
          <w:rFonts w:ascii="Arial" w:hAnsi="Arial" w:cs="Arial"/>
          <w:bCs/>
          <w:sz w:val="20"/>
          <w:szCs w:val="20"/>
        </w:rPr>
        <w:t xml:space="preserve"> – především </w:t>
      </w:r>
      <w:r w:rsidRPr="00C24253">
        <w:rPr>
          <w:rFonts w:ascii="Arial" w:hAnsi="Arial" w:cs="Arial"/>
          <w:b/>
          <w:bCs/>
          <w:sz w:val="20"/>
          <w:szCs w:val="20"/>
        </w:rPr>
        <w:t>jde o úsporu více než 75 mil. Kč v roce 2011</w:t>
      </w:r>
      <w:r w:rsidRPr="00C24253">
        <w:rPr>
          <w:rFonts w:ascii="Arial" w:hAnsi="Arial" w:cs="Arial"/>
          <w:bCs/>
          <w:sz w:val="20"/>
          <w:szCs w:val="20"/>
        </w:rPr>
        <w:t xml:space="preserve">. </w:t>
      </w:r>
      <w:r w:rsidRPr="00C24253">
        <w:rPr>
          <w:rFonts w:ascii="Arial" w:hAnsi="Arial" w:cs="Arial"/>
          <w:sz w:val="20"/>
          <w:szCs w:val="20"/>
        </w:rPr>
        <w:t>Úspora mzdových prostředků v tomto roce byla dosažena především v důsledku toho, že neočekávaně vysoký podíl obyvatel neodevzdal vyplněné sčítací formuláře zpět sčítacím komisařům, ale odeslal je do P</w:t>
      </w:r>
      <w:r w:rsidR="00B7680F">
        <w:rPr>
          <w:rFonts w:ascii="Arial" w:hAnsi="Arial" w:cs="Arial"/>
          <w:sz w:val="20"/>
          <w:szCs w:val="20"/>
        </w:rPr>
        <w:t>.</w:t>
      </w:r>
      <w:r w:rsidRPr="00C24253">
        <w:rPr>
          <w:rFonts w:ascii="Arial" w:hAnsi="Arial" w:cs="Arial"/>
          <w:sz w:val="20"/>
          <w:szCs w:val="20"/>
        </w:rPr>
        <w:t>O</w:t>
      </w:r>
      <w:r w:rsidR="00B7680F">
        <w:rPr>
          <w:rFonts w:ascii="Arial" w:hAnsi="Arial" w:cs="Arial"/>
          <w:sz w:val="20"/>
          <w:szCs w:val="20"/>
        </w:rPr>
        <w:t>.</w:t>
      </w:r>
      <w:r w:rsidRPr="00C24253">
        <w:rPr>
          <w:rFonts w:ascii="Arial" w:hAnsi="Arial" w:cs="Arial"/>
          <w:sz w:val="20"/>
          <w:szCs w:val="20"/>
        </w:rPr>
        <w:t xml:space="preserve"> Boxu. Proto bylo možné snížit počty kontrolorů, kteří měli přebírat formuláře od komisařů dodavatele, na zhruba jednu třetinu. </w:t>
      </w:r>
    </w:p>
    <w:p w:rsidR="00096A9F" w:rsidRPr="00C24253" w:rsidRDefault="00096A9F" w:rsidP="00096A9F">
      <w:pPr>
        <w:pStyle w:val="GroupWiseView"/>
        <w:tabs>
          <w:tab w:val="left" w:pos="1500"/>
          <w:tab w:val="left" w:pos="3000"/>
        </w:tabs>
        <w:spacing w:after="120"/>
        <w:jc w:val="both"/>
        <w:rPr>
          <w:rFonts w:ascii="Arial" w:hAnsi="Arial" w:cs="Arial"/>
          <w:sz w:val="20"/>
          <w:szCs w:val="20"/>
        </w:rPr>
      </w:pPr>
      <w:r w:rsidRPr="00C24253">
        <w:rPr>
          <w:rFonts w:ascii="Arial" w:hAnsi="Arial" w:cs="Arial"/>
          <w:sz w:val="20"/>
          <w:szCs w:val="20"/>
        </w:rPr>
        <w:t>Další větší úspora vznikla na kódovacím pracovišti, kde se podařilo zásluhou vysoké účinnosti automatizovaného kódování a vyšším výkonem pracovníků ukončit plánované úkoly v době o čtvrtinu kratší než předpokládané. Nezanedbatelná úspora na pojištění byla dosažena tím, že většina činností v terénu (kontroloři kvality, pracovníci při došetřování) byla prováděna pracovníky na dohodu, nikoliv v pracovním poměru.</w:t>
      </w:r>
    </w:p>
    <w:p w:rsidR="00766F29" w:rsidRPr="001F34D8" w:rsidRDefault="00096A9F" w:rsidP="001F34D8">
      <w:pPr>
        <w:spacing w:after="120"/>
        <w:rPr>
          <w:rFonts w:cs="Arial"/>
          <w:bCs/>
          <w:sz w:val="20"/>
          <w:szCs w:val="20"/>
        </w:rPr>
      </w:pPr>
      <w:r w:rsidRPr="00C24253">
        <w:rPr>
          <w:rFonts w:cs="Arial"/>
          <w:bCs/>
          <w:sz w:val="20"/>
          <w:szCs w:val="20"/>
        </w:rPr>
        <w:t xml:space="preserve">Největšími položkami byly </w:t>
      </w:r>
      <w:r w:rsidRPr="00C24253">
        <w:rPr>
          <w:rFonts w:cs="Arial"/>
          <w:b/>
          <w:bCs/>
          <w:sz w:val="20"/>
          <w:szCs w:val="20"/>
        </w:rPr>
        <w:t>platby hlavním dodavatelům (více než 1,5 mld, Kč</w:t>
      </w:r>
      <w:r w:rsidRPr="00C24253">
        <w:rPr>
          <w:rFonts w:cs="Arial"/>
          <w:bCs/>
          <w:sz w:val="20"/>
          <w:szCs w:val="20"/>
        </w:rPr>
        <w:t>, tedy zhruba dvě třetiny celkových nákladů sčítání), proto lze sčítání v roce 2011 označit za dodavatelské sčítání. Nejvyšší výdaje byly za terénní práce, České poště, s.p., jako dodavateli terénních prací, bylo proplaceno zhruba 900 mil. Kč. Generální dodavatel IT obdržel za své služby téměř 500 mil. Kč, další desítky miliónů byly vynaloženy např. na projektové řízení, zajištění bezpečnosti sčítání a komunikační a informační kampaň při sčítání.</w:t>
      </w:r>
    </w:p>
    <w:p w:rsidR="00766F29" w:rsidRDefault="00766F29" w:rsidP="00766F29"/>
    <w:sectPr w:rsidR="00766F29" w:rsidSect="00FC6FDC">
      <w:footerReference w:type="even" r:id="rId10"/>
      <w:type w:val="continuous"/>
      <w:pgSz w:w="11906" w:h="16838" w:code="9"/>
      <w:pgMar w:top="1134" w:right="1134" w:bottom="1134" w:left="1134"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A3A" w:rsidRDefault="00A33A3A">
      <w:r>
        <w:separator/>
      </w:r>
    </w:p>
    <w:p w:rsidR="00A33A3A" w:rsidRDefault="00A33A3A"/>
  </w:endnote>
  <w:endnote w:type="continuationSeparator" w:id="0">
    <w:p w:rsidR="00A33A3A" w:rsidRDefault="00A33A3A">
      <w:r>
        <w:continuationSeparator/>
      </w:r>
    </w:p>
    <w:p w:rsidR="00A33A3A" w:rsidRDefault="00A33A3A"/>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T1FD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5C3" w:rsidRDefault="00480A3B">
    <w:pPr>
      <w:pStyle w:val="Zpat"/>
      <w:framePr w:wrap="around" w:vAnchor="text" w:hAnchor="margin" w:xAlign="center" w:y="1"/>
      <w:rPr>
        <w:rStyle w:val="slostrnky"/>
      </w:rPr>
    </w:pPr>
    <w:r>
      <w:rPr>
        <w:rStyle w:val="slostrnky"/>
      </w:rPr>
      <w:fldChar w:fldCharType="begin"/>
    </w:r>
    <w:r w:rsidR="00D055C3">
      <w:rPr>
        <w:rStyle w:val="slostrnky"/>
      </w:rPr>
      <w:instrText xml:space="preserve">PAGE  </w:instrText>
    </w:r>
    <w:r>
      <w:rPr>
        <w:rStyle w:val="slostrnky"/>
      </w:rPr>
      <w:fldChar w:fldCharType="end"/>
    </w:r>
  </w:p>
  <w:p w:rsidR="00D055C3" w:rsidRDefault="00D055C3">
    <w:pPr>
      <w:pStyle w:val="Zpat"/>
    </w:pPr>
  </w:p>
  <w:p w:rsidR="00D055C3" w:rsidRDefault="00D055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A3A" w:rsidRDefault="00A33A3A">
      <w:r>
        <w:separator/>
      </w:r>
    </w:p>
    <w:p w:rsidR="00A33A3A" w:rsidRDefault="00A33A3A"/>
  </w:footnote>
  <w:footnote w:type="continuationSeparator" w:id="0">
    <w:p w:rsidR="00A33A3A" w:rsidRDefault="00A33A3A">
      <w:r>
        <w:continuationSeparator/>
      </w:r>
    </w:p>
    <w:p w:rsidR="00A33A3A" w:rsidRDefault="00A33A3A"/>
  </w:footnote>
  <w:footnote w:id="1">
    <w:p w:rsidR="00D055C3" w:rsidRPr="001D1270" w:rsidRDefault="00D055C3" w:rsidP="00CE0AA5">
      <w:pPr>
        <w:spacing w:after="120"/>
        <w:rPr>
          <w:rFonts w:cs="Arial"/>
          <w:i/>
          <w:sz w:val="18"/>
          <w:szCs w:val="18"/>
        </w:rPr>
      </w:pPr>
      <w:r w:rsidRPr="00F246D1">
        <w:rPr>
          <w:rStyle w:val="Znakapoznpodarou"/>
          <w:i/>
        </w:rPr>
        <w:footnoteRef/>
      </w:r>
      <w:r w:rsidRPr="00F246D1">
        <w:rPr>
          <w:i/>
        </w:rPr>
        <w:t xml:space="preserve"> </w:t>
      </w:r>
      <w:r w:rsidRPr="001D1270">
        <w:rPr>
          <w:rFonts w:cs="Arial"/>
          <w:bCs/>
          <w:i/>
          <w:sz w:val="18"/>
          <w:szCs w:val="18"/>
        </w:rPr>
        <w:t>Principles and Recommendations for Population and Housing Censuses. Revision 2, Statistics Division, Statistical Papers, Series M, No.67/Rev.2. United Nations, New York, 2008.</w:t>
      </w:r>
    </w:p>
  </w:footnote>
  <w:footnote w:id="2">
    <w:p w:rsidR="00D055C3" w:rsidRPr="001D1270" w:rsidRDefault="00D055C3" w:rsidP="00FF466D">
      <w:pPr>
        <w:pStyle w:val="Textpoznpodarou"/>
        <w:spacing w:after="120"/>
        <w:rPr>
          <w:rFonts w:cs="Arial"/>
          <w:szCs w:val="18"/>
        </w:rPr>
      </w:pPr>
      <w:r w:rsidRPr="001D1270">
        <w:rPr>
          <w:rStyle w:val="Znakapoznpodarou"/>
          <w:rFonts w:cs="Arial"/>
          <w:szCs w:val="18"/>
        </w:rPr>
        <w:footnoteRef/>
      </w:r>
      <w:r w:rsidRPr="001D1270">
        <w:rPr>
          <w:rFonts w:cs="Arial"/>
          <w:szCs w:val="18"/>
        </w:rPr>
        <w:t xml:space="preserve"> Conference of European Statisticians Recommendations for the 2010 Censuses of Population and Housing (prepared in cooperation with the Statistical Office of the European Communities (Eurostat), United Nations, New York and Gen</w:t>
      </w:r>
      <w:r w:rsidRPr="001D1270">
        <w:rPr>
          <w:rFonts w:cs="Arial"/>
          <w:szCs w:val="18"/>
        </w:rPr>
        <w:t>e</w:t>
      </w:r>
      <w:r w:rsidRPr="001D1270">
        <w:rPr>
          <w:rFonts w:cs="Arial"/>
          <w:szCs w:val="18"/>
        </w:rPr>
        <w:t xml:space="preserve">va, 2006. </w:t>
      </w:r>
    </w:p>
  </w:footnote>
  <w:footnote w:id="3">
    <w:p w:rsidR="00D055C3" w:rsidRPr="00CE0AA5" w:rsidRDefault="00D055C3" w:rsidP="00FF466D">
      <w:pPr>
        <w:spacing w:after="120"/>
        <w:rPr>
          <w:rFonts w:cs="Arial"/>
          <w:i/>
          <w:sz w:val="18"/>
          <w:szCs w:val="18"/>
        </w:rPr>
      </w:pPr>
      <w:r w:rsidRPr="001D1270">
        <w:rPr>
          <w:rStyle w:val="Znakapoznpodarou"/>
          <w:rFonts w:cs="Arial"/>
          <w:i/>
          <w:sz w:val="18"/>
          <w:szCs w:val="18"/>
        </w:rPr>
        <w:footnoteRef/>
      </w:r>
      <w:r w:rsidRPr="001D1270">
        <w:rPr>
          <w:rFonts w:cs="Arial"/>
          <w:i/>
          <w:sz w:val="18"/>
          <w:szCs w:val="18"/>
        </w:rPr>
        <w:t xml:space="preserve"> </w:t>
      </w:r>
      <w:hyperlink r:id="rId1" w:history="1">
        <w:r w:rsidRPr="00CE0AA5">
          <w:rPr>
            <w:rStyle w:val="Hypertextovodkaz"/>
            <w:rFonts w:cs="Arial"/>
            <w:bCs/>
            <w:i/>
            <w:color w:val="auto"/>
            <w:sz w:val="18"/>
            <w:szCs w:val="18"/>
            <w:u w:val="none"/>
          </w:rPr>
          <w:t>Nařízení Evropského parlamentu a Rady (ES) č. 763/2008</w:t>
        </w:r>
      </w:hyperlink>
      <w:r w:rsidRPr="00CE0AA5">
        <w:rPr>
          <w:rFonts w:cs="Arial"/>
          <w:bCs/>
          <w:i/>
          <w:sz w:val="18"/>
          <w:szCs w:val="18"/>
        </w:rPr>
        <w:t xml:space="preserve"> ze dne 9. července 2008 o sčítání lidu, domů a bytů.</w:t>
      </w:r>
      <w:r w:rsidRPr="00CE0AA5">
        <w:rPr>
          <w:rFonts w:eastAsiaTheme="minorHAnsi" w:cs="Arial"/>
          <w:i/>
          <w:sz w:val="18"/>
          <w:szCs w:val="18"/>
        </w:rPr>
        <w:t xml:space="preserve"> Úřední věstník Evropské unie, L 218/14 CS, 13. 8. 2008</w:t>
      </w:r>
    </w:p>
  </w:footnote>
  <w:footnote w:id="4">
    <w:p w:rsidR="00D055C3" w:rsidRDefault="00D055C3" w:rsidP="00E97043">
      <w:pPr>
        <w:rPr>
          <w:rFonts w:cs="Arial"/>
          <w:bCs/>
          <w:i/>
          <w:sz w:val="18"/>
          <w:szCs w:val="18"/>
        </w:rPr>
      </w:pPr>
      <w:r w:rsidRPr="00CE0AA5">
        <w:rPr>
          <w:rStyle w:val="Znakapoznpodarou"/>
          <w:rFonts w:cs="Arial"/>
          <w:i/>
          <w:sz w:val="18"/>
          <w:szCs w:val="18"/>
        </w:rPr>
        <w:footnoteRef/>
      </w:r>
      <w:r w:rsidRPr="00CE0AA5">
        <w:rPr>
          <w:rFonts w:cs="Arial"/>
          <w:i/>
          <w:sz w:val="18"/>
          <w:szCs w:val="18"/>
        </w:rPr>
        <w:t xml:space="preserve"> </w:t>
      </w:r>
      <w:hyperlink r:id="rId2" w:history="1">
        <w:r w:rsidRPr="00CE0AA5">
          <w:rPr>
            <w:rStyle w:val="Hypertextovodkaz"/>
            <w:rFonts w:cs="Arial"/>
            <w:bCs/>
            <w:i/>
            <w:color w:val="auto"/>
            <w:sz w:val="18"/>
            <w:szCs w:val="18"/>
            <w:u w:val="none"/>
          </w:rPr>
          <w:t>Nařízení Komise (ES) č. 1201/2009</w:t>
        </w:r>
      </w:hyperlink>
      <w:r w:rsidRPr="00CE0AA5">
        <w:rPr>
          <w:rFonts w:cs="Arial"/>
          <w:bCs/>
          <w:i/>
          <w:sz w:val="18"/>
          <w:szCs w:val="18"/>
        </w:rPr>
        <w:t xml:space="preserve"> ze dne 30. listopadu 2009, kterým se provádí Na</w:t>
      </w:r>
      <w:r>
        <w:rPr>
          <w:rFonts w:cs="Arial"/>
          <w:bCs/>
          <w:i/>
          <w:sz w:val="18"/>
          <w:szCs w:val="18"/>
        </w:rPr>
        <w:t xml:space="preserve">řízení č. 763/2008, pokud jde </w:t>
      </w:r>
    </w:p>
    <w:p w:rsidR="00D055C3" w:rsidRPr="00CE0AA5" w:rsidRDefault="00D055C3" w:rsidP="00E97043">
      <w:pPr>
        <w:ind w:firstLine="142"/>
        <w:rPr>
          <w:rFonts w:cs="Arial"/>
          <w:i/>
          <w:sz w:val="18"/>
          <w:szCs w:val="18"/>
          <w:highlight w:val="yellow"/>
        </w:rPr>
      </w:pPr>
      <w:r>
        <w:rPr>
          <w:rFonts w:cs="Arial"/>
          <w:bCs/>
          <w:i/>
          <w:sz w:val="18"/>
          <w:szCs w:val="18"/>
        </w:rPr>
        <w:t>o </w:t>
      </w:r>
      <w:r w:rsidRPr="00CE0AA5">
        <w:rPr>
          <w:rFonts w:cs="Arial"/>
          <w:bCs/>
          <w:i/>
          <w:sz w:val="18"/>
          <w:szCs w:val="18"/>
        </w:rPr>
        <w:t>technické specifikace témat sčítání lidu a jejich rozdělení. Úřední věstník Evropské unie L 329</w:t>
      </w:r>
    </w:p>
    <w:p w:rsidR="00D055C3" w:rsidRPr="00CE0AA5" w:rsidRDefault="00480A3B" w:rsidP="00CE0AA5">
      <w:pPr>
        <w:spacing w:after="80"/>
        <w:ind w:left="142"/>
        <w:rPr>
          <w:rFonts w:cs="Arial"/>
          <w:i/>
          <w:sz w:val="18"/>
          <w:szCs w:val="18"/>
        </w:rPr>
      </w:pPr>
      <w:hyperlink r:id="rId3" w:history="1">
        <w:r w:rsidR="00D055C3" w:rsidRPr="00CE0AA5">
          <w:rPr>
            <w:rStyle w:val="Hypertextovodkaz"/>
            <w:rFonts w:cs="Arial"/>
            <w:bCs/>
            <w:i/>
            <w:color w:val="auto"/>
            <w:sz w:val="18"/>
            <w:szCs w:val="18"/>
            <w:u w:val="none"/>
          </w:rPr>
          <w:t>Nařízení Komise (EU) č. 519/2010</w:t>
        </w:r>
      </w:hyperlink>
      <w:r w:rsidR="00D055C3" w:rsidRPr="00CE0AA5">
        <w:rPr>
          <w:rFonts w:cs="Arial"/>
          <w:bCs/>
          <w:i/>
          <w:sz w:val="18"/>
          <w:szCs w:val="18"/>
        </w:rPr>
        <w:t xml:space="preserve"> ze dne 16. června 2010, kterým se přijímá program statistických údajů a me</w:t>
      </w:r>
      <w:r w:rsidR="00D055C3">
        <w:rPr>
          <w:rFonts w:cs="Arial"/>
          <w:bCs/>
          <w:i/>
          <w:sz w:val="18"/>
          <w:szCs w:val="18"/>
        </w:rPr>
        <w:t xml:space="preserve">tadat </w:t>
      </w:r>
      <w:r w:rsidR="00D055C3" w:rsidRPr="00CE0AA5">
        <w:rPr>
          <w:rFonts w:cs="Arial"/>
          <w:bCs/>
          <w:i/>
          <w:sz w:val="18"/>
          <w:szCs w:val="18"/>
        </w:rPr>
        <w:t>pro sčítání lidu stanovený Nařízením č. 763/2008. Úřední věstník Evropské unie L 151</w:t>
      </w:r>
    </w:p>
    <w:p w:rsidR="00D055C3" w:rsidRPr="001D1270" w:rsidRDefault="00480A3B" w:rsidP="00CE0AA5">
      <w:pPr>
        <w:spacing w:after="120"/>
        <w:ind w:left="142"/>
        <w:rPr>
          <w:rFonts w:cs="Arial"/>
          <w:i/>
          <w:sz w:val="18"/>
          <w:szCs w:val="18"/>
        </w:rPr>
      </w:pPr>
      <w:hyperlink r:id="rId4" w:history="1">
        <w:r w:rsidR="00D055C3" w:rsidRPr="00CE0AA5">
          <w:rPr>
            <w:rStyle w:val="Hypertextovodkaz"/>
            <w:rFonts w:cs="Arial"/>
            <w:bCs/>
            <w:i/>
            <w:color w:val="auto"/>
            <w:sz w:val="18"/>
            <w:szCs w:val="18"/>
            <w:u w:val="none"/>
          </w:rPr>
          <w:t>Nařízení Komise (EU) č. 1151/2010</w:t>
        </w:r>
      </w:hyperlink>
      <w:r w:rsidR="00D055C3" w:rsidRPr="00CE0AA5">
        <w:rPr>
          <w:rFonts w:cs="Arial"/>
          <w:bCs/>
          <w:i/>
          <w:sz w:val="18"/>
          <w:szCs w:val="18"/>
        </w:rPr>
        <w:t xml:space="preserve"> ze dne 8. prosince 2010, kterým se provádí Na</w:t>
      </w:r>
      <w:r w:rsidR="00D055C3">
        <w:rPr>
          <w:rFonts w:cs="Arial"/>
          <w:bCs/>
          <w:i/>
          <w:sz w:val="18"/>
          <w:szCs w:val="18"/>
        </w:rPr>
        <w:t>řízení č. 763/2008, pokud jde o </w:t>
      </w:r>
      <w:r w:rsidR="00D055C3" w:rsidRPr="00CE0AA5">
        <w:rPr>
          <w:rFonts w:cs="Arial"/>
          <w:bCs/>
          <w:i/>
          <w:sz w:val="18"/>
          <w:szCs w:val="18"/>
        </w:rPr>
        <w:t>způsob zpracování a strukturu zpráv o kv</w:t>
      </w:r>
      <w:r w:rsidR="00D055C3" w:rsidRPr="001D1270">
        <w:rPr>
          <w:rFonts w:cs="Arial"/>
          <w:bCs/>
          <w:i/>
          <w:sz w:val="18"/>
          <w:szCs w:val="18"/>
        </w:rPr>
        <w:t>alitě a technický formát pro předávání údajů. Úřední věstník Evropské unie L 324</w:t>
      </w:r>
    </w:p>
    <w:p w:rsidR="00D055C3" w:rsidRPr="001D1270" w:rsidRDefault="00D055C3">
      <w:pPr>
        <w:pStyle w:val="Textpoznpodarou"/>
        <w:rPr>
          <w:rFonts w:cs="Arial"/>
          <w:szCs w:val="18"/>
        </w:rPr>
      </w:pPr>
    </w:p>
  </w:footnote>
  <w:footnote w:id="5">
    <w:p w:rsidR="00D055C3" w:rsidRPr="0068532A" w:rsidRDefault="00D055C3" w:rsidP="00096A9F">
      <w:pPr>
        <w:pStyle w:val="Textpoznpodarou"/>
        <w:rPr>
          <w:rFonts w:cs="Arial"/>
          <w:szCs w:val="18"/>
        </w:rPr>
      </w:pPr>
      <w:r w:rsidRPr="000320B7">
        <w:rPr>
          <w:rStyle w:val="Znakapoznpodarou"/>
          <w:szCs w:val="18"/>
        </w:rPr>
        <w:footnoteRef/>
      </w:r>
      <w:r w:rsidRPr="000320B7">
        <w:rPr>
          <w:szCs w:val="18"/>
        </w:rPr>
        <w:t xml:space="preserve"> </w:t>
      </w:r>
      <w:r w:rsidRPr="0068532A">
        <w:rPr>
          <w:rFonts w:cs="Arial"/>
          <w:szCs w:val="18"/>
        </w:rPr>
        <w:t xml:space="preserve">Sčítací obvody pro cenzus 2011 byly odlišné od obvodů evidovaných v RSO (ty se nazývají statistické obvody, pouze v názvu registru přetrvává přívlastek sčítací). </w:t>
      </w:r>
    </w:p>
  </w:footnote>
  <w:footnote w:id="6">
    <w:p w:rsidR="00D055C3" w:rsidRDefault="00D055C3" w:rsidP="00096A9F">
      <w:pPr>
        <w:pStyle w:val="Textpoznpodarou"/>
      </w:pPr>
      <w:r>
        <w:rPr>
          <w:rStyle w:val="Znakapoznpodarou"/>
        </w:rPr>
        <w:footnoteRef/>
      </w:r>
      <w:r>
        <w:t xml:space="preserve"> </w:t>
      </w:r>
      <w:r w:rsidRPr="009A62FB">
        <w:rPr>
          <w:rFonts w:cs="Arial"/>
          <w:szCs w:val="18"/>
        </w:rPr>
        <w:t>Řada lidí nežila v místě svého evidovaného pobytu. Předtištěné formuláře určené pro tyto osoby zůstaly nevyužity. Osobám sečteným mimo místo jejich evidovaného pobytu byly předány bianco sčítací listy osoby, do nichž adresu a případně jméno vepsal při předávce sčítací komisař.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372"/>
    <w:multiLevelType w:val="multilevel"/>
    <w:tmpl w:val="0405001D"/>
    <w:styleLink w:val="Styl13"/>
    <w:lvl w:ilvl="0">
      <w:start w:val="2"/>
      <w:numFmt w:val="decimal"/>
      <w:lvlText w:val="%1)"/>
      <w:lvlJc w:val="left"/>
      <w:pPr>
        <w:ind w:left="360" w:hanging="360"/>
      </w:pPr>
    </w:lvl>
    <w:lvl w:ilvl="1">
      <w:start w:val="1"/>
      <w:numFmt w:val="lowerLetter"/>
      <w:lvlText w:val="%2)"/>
      <w:lvlJc w:val="left"/>
      <w:pPr>
        <w:ind w:left="720" w:hanging="360"/>
      </w:pPr>
      <w:rPr>
        <w:rFonts w:ascii="Arial" w:hAnsi="Arial"/>
        <w:sz w:val="3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C1664EE"/>
    <w:multiLevelType w:val="multilevel"/>
    <w:tmpl w:val="CF4E77C0"/>
    <w:styleLink w:val="Styl4"/>
    <w:lvl w:ilvl="0">
      <w:start w:val="7"/>
      <w:numFmt w:val="decimal"/>
      <w:lvlText w:val="%1."/>
      <w:lvlJc w:val="left"/>
      <w:pPr>
        <w:ind w:left="72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CAE1A6B"/>
    <w:multiLevelType w:val="multilevel"/>
    <w:tmpl w:val="2C401CCC"/>
    <w:numStyleLink w:val="Styl8"/>
  </w:abstractNum>
  <w:abstractNum w:abstractNumId="3">
    <w:nsid w:val="0E016256"/>
    <w:multiLevelType w:val="multilevel"/>
    <w:tmpl w:val="0405001D"/>
    <w:styleLink w:val="Styl1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FE6A4E"/>
    <w:multiLevelType w:val="multilevel"/>
    <w:tmpl w:val="03D4418A"/>
    <w:lvl w:ilvl="0">
      <w:start w:val="1"/>
      <w:numFmt w:val="decimal"/>
      <w:lvlText w:val="%1."/>
      <w:lvlJc w:val="left"/>
      <w:pPr>
        <w:ind w:left="480" w:hanging="48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660190E"/>
    <w:multiLevelType w:val="multilevel"/>
    <w:tmpl w:val="070810C0"/>
    <w:styleLink w:val="Styl2"/>
    <w:lvl w:ilvl="0">
      <w:start w:val="2"/>
      <w:numFmt w:val="decimal"/>
      <w:lvlText w:val="%1.1."/>
      <w:lvlJc w:val="left"/>
      <w:pPr>
        <w:ind w:left="567" w:hanging="567"/>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472F0C"/>
    <w:multiLevelType w:val="hybridMultilevel"/>
    <w:tmpl w:val="4B1E2190"/>
    <w:lvl w:ilvl="0" w:tplc="B914C9F4">
      <w:start w:val="17"/>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A5F5F7F"/>
    <w:multiLevelType w:val="hybridMultilevel"/>
    <w:tmpl w:val="9C444472"/>
    <w:lvl w:ilvl="0" w:tplc="5456EEB4">
      <w:start w:val="1"/>
      <w:numFmt w:val="decimal"/>
      <w:lvlText w:val="%1)"/>
      <w:lvlJc w:val="left"/>
      <w:pPr>
        <w:tabs>
          <w:tab w:val="num" w:pos="397"/>
        </w:tabs>
        <w:ind w:left="397" w:hanging="397"/>
      </w:pPr>
      <w:rPr>
        <w:rFonts w:ascii="Arial" w:hAnsi="Arial" w:hint="default"/>
        <w:b w:val="0"/>
        <w:i w:val="0"/>
        <w:color w:val="auto"/>
        <w:sz w:val="16"/>
      </w:rPr>
    </w:lvl>
    <w:lvl w:ilvl="1" w:tplc="530C8A14">
      <w:start w:val="10"/>
      <w:numFmt w:val="decimal"/>
      <w:lvlText w:val="%2"/>
      <w:lvlJc w:val="left"/>
      <w:pPr>
        <w:ind w:left="1440" w:hanging="360"/>
      </w:pPr>
      <w:rPr>
        <w:rFonts w:hint="default"/>
      </w:rPr>
    </w:lvl>
    <w:lvl w:ilvl="2" w:tplc="2348E64C" w:tentative="1">
      <w:start w:val="1"/>
      <w:numFmt w:val="lowerRoman"/>
      <w:lvlText w:val="%3."/>
      <w:lvlJc w:val="right"/>
      <w:pPr>
        <w:tabs>
          <w:tab w:val="num" w:pos="2160"/>
        </w:tabs>
        <w:ind w:left="2160" w:hanging="180"/>
      </w:pPr>
    </w:lvl>
    <w:lvl w:ilvl="3" w:tplc="B8D2C9F4" w:tentative="1">
      <w:start w:val="1"/>
      <w:numFmt w:val="decimal"/>
      <w:lvlText w:val="%4."/>
      <w:lvlJc w:val="left"/>
      <w:pPr>
        <w:tabs>
          <w:tab w:val="num" w:pos="2880"/>
        </w:tabs>
        <w:ind w:left="2880" w:hanging="360"/>
      </w:pPr>
    </w:lvl>
    <w:lvl w:ilvl="4" w:tplc="0B7E2BAE" w:tentative="1">
      <w:start w:val="1"/>
      <w:numFmt w:val="lowerLetter"/>
      <w:lvlText w:val="%5."/>
      <w:lvlJc w:val="left"/>
      <w:pPr>
        <w:tabs>
          <w:tab w:val="num" w:pos="3600"/>
        </w:tabs>
        <w:ind w:left="3600" w:hanging="360"/>
      </w:pPr>
    </w:lvl>
    <w:lvl w:ilvl="5" w:tplc="4062505E" w:tentative="1">
      <w:start w:val="1"/>
      <w:numFmt w:val="lowerRoman"/>
      <w:lvlText w:val="%6."/>
      <w:lvlJc w:val="right"/>
      <w:pPr>
        <w:tabs>
          <w:tab w:val="num" w:pos="4320"/>
        </w:tabs>
        <w:ind w:left="4320" w:hanging="180"/>
      </w:pPr>
    </w:lvl>
    <w:lvl w:ilvl="6" w:tplc="799E3B98" w:tentative="1">
      <w:start w:val="1"/>
      <w:numFmt w:val="decimal"/>
      <w:lvlText w:val="%7."/>
      <w:lvlJc w:val="left"/>
      <w:pPr>
        <w:tabs>
          <w:tab w:val="num" w:pos="5040"/>
        </w:tabs>
        <w:ind w:left="5040" w:hanging="360"/>
      </w:pPr>
    </w:lvl>
    <w:lvl w:ilvl="7" w:tplc="B8702D2A" w:tentative="1">
      <w:start w:val="1"/>
      <w:numFmt w:val="lowerLetter"/>
      <w:lvlText w:val="%8."/>
      <w:lvlJc w:val="left"/>
      <w:pPr>
        <w:tabs>
          <w:tab w:val="num" w:pos="5760"/>
        </w:tabs>
        <w:ind w:left="5760" w:hanging="360"/>
      </w:pPr>
    </w:lvl>
    <w:lvl w:ilvl="8" w:tplc="0DF24DBA" w:tentative="1">
      <w:start w:val="1"/>
      <w:numFmt w:val="lowerRoman"/>
      <w:lvlText w:val="%9."/>
      <w:lvlJc w:val="right"/>
      <w:pPr>
        <w:tabs>
          <w:tab w:val="num" w:pos="6480"/>
        </w:tabs>
        <w:ind w:left="6480" w:hanging="180"/>
      </w:pPr>
    </w:lvl>
  </w:abstractNum>
  <w:abstractNum w:abstractNumId="8">
    <w:nsid w:val="25630679"/>
    <w:multiLevelType w:val="multilevel"/>
    <w:tmpl w:val="2C401CCC"/>
    <w:styleLink w:val="Styl8"/>
    <w:lvl w:ilvl="0">
      <w:start w:val="8"/>
      <w:numFmt w:val="decimal"/>
      <w:lvlText w:val="%1."/>
      <w:lvlJc w:val="left"/>
      <w:pPr>
        <w:ind w:left="36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25877537"/>
    <w:multiLevelType w:val="hybridMultilevel"/>
    <w:tmpl w:val="1F1E20C6"/>
    <w:lvl w:ilvl="0" w:tplc="33EC40F4">
      <w:start w:val="1"/>
      <w:numFmt w:val="lowerLetter"/>
      <w:lvlText w:val="%1)"/>
      <w:lvlJc w:val="left"/>
      <w:pPr>
        <w:ind w:left="720" w:hanging="360"/>
      </w:pPr>
      <w:rPr>
        <w:rFonts w:hint="default"/>
      </w:rPr>
    </w:lvl>
    <w:lvl w:ilvl="1" w:tplc="B91E55B6">
      <w:start w:val="10"/>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C679A8"/>
    <w:multiLevelType w:val="multilevel"/>
    <w:tmpl w:val="0405001D"/>
    <w:styleLink w:val="Styl18"/>
    <w:lvl w:ilvl="0">
      <w:start w:val="2"/>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DE3188B"/>
    <w:multiLevelType w:val="multilevel"/>
    <w:tmpl w:val="AA760272"/>
    <w:styleLink w:val="Styl3"/>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nsid w:val="303222AE"/>
    <w:multiLevelType w:val="hybridMultilevel"/>
    <w:tmpl w:val="42E23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0932AB"/>
    <w:multiLevelType w:val="hybridMultilevel"/>
    <w:tmpl w:val="B5FAAFC0"/>
    <w:lvl w:ilvl="0" w:tplc="046287AE">
      <w:start w:val="1"/>
      <w:numFmt w:val="bullet"/>
      <w:pStyle w:val="Seznamsodrkami3"/>
      <w:lvlText w:val=""/>
      <w:lvlJc w:val="left"/>
      <w:pPr>
        <w:tabs>
          <w:tab w:val="num" w:pos="720"/>
        </w:tabs>
        <w:ind w:left="720" w:hanging="360"/>
      </w:pPr>
      <w:rPr>
        <w:rFonts w:ascii="Wingdings" w:hAnsi="Wingdings" w:hint="default"/>
      </w:rPr>
    </w:lvl>
    <w:lvl w:ilvl="1" w:tplc="9BFA5D36">
      <w:start w:val="4"/>
      <w:numFmt w:val="bullet"/>
      <w:lvlText w:val="-"/>
      <w:lvlJc w:val="left"/>
      <w:pPr>
        <w:tabs>
          <w:tab w:val="num" w:pos="1440"/>
        </w:tabs>
        <w:ind w:left="1440" w:hanging="360"/>
      </w:pPr>
      <w:rPr>
        <w:rFonts w:ascii="Times New Roman" w:eastAsia="Times New Roman" w:hAnsi="Times New Roman" w:cs="Times New Roman" w:hint="default"/>
      </w:rPr>
    </w:lvl>
    <w:lvl w:ilvl="2" w:tplc="7D10342A">
      <w:start w:val="1"/>
      <w:numFmt w:val="bullet"/>
      <w:lvlText w:val=""/>
      <w:lvlJc w:val="left"/>
      <w:pPr>
        <w:tabs>
          <w:tab w:val="num" w:pos="2160"/>
        </w:tabs>
        <w:ind w:left="2160" w:hanging="360"/>
      </w:pPr>
      <w:rPr>
        <w:rFonts w:ascii="Wingdings" w:hAnsi="Wingdings" w:hint="default"/>
      </w:rPr>
    </w:lvl>
    <w:lvl w:ilvl="3" w:tplc="7966D18A" w:tentative="1">
      <w:start w:val="1"/>
      <w:numFmt w:val="bullet"/>
      <w:lvlText w:val=""/>
      <w:lvlJc w:val="left"/>
      <w:pPr>
        <w:tabs>
          <w:tab w:val="num" w:pos="2880"/>
        </w:tabs>
        <w:ind w:left="2880" w:hanging="360"/>
      </w:pPr>
      <w:rPr>
        <w:rFonts w:ascii="Symbol" w:hAnsi="Symbol" w:hint="default"/>
      </w:rPr>
    </w:lvl>
    <w:lvl w:ilvl="4" w:tplc="3794B44A" w:tentative="1">
      <w:start w:val="1"/>
      <w:numFmt w:val="bullet"/>
      <w:lvlText w:val="o"/>
      <w:lvlJc w:val="left"/>
      <w:pPr>
        <w:tabs>
          <w:tab w:val="num" w:pos="3600"/>
        </w:tabs>
        <w:ind w:left="3600" w:hanging="360"/>
      </w:pPr>
      <w:rPr>
        <w:rFonts w:ascii="Courier New" w:hAnsi="Courier New" w:hint="default"/>
      </w:rPr>
    </w:lvl>
    <w:lvl w:ilvl="5" w:tplc="F63863A8" w:tentative="1">
      <w:start w:val="1"/>
      <w:numFmt w:val="bullet"/>
      <w:lvlText w:val=""/>
      <w:lvlJc w:val="left"/>
      <w:pPr>
        <w:tabs>
          <w:tab w:val="num" w:pos="4320"/>
        </w:tabs>
        <w:ind w:left="4320" w:hanging="360"/>
      </w:pPr>
      <w:rPr>
        <w:rFonts w:ascii="Wingdings" w:hAnsi="Wingdings" w:hint="default"/>
      </w:rPr>
    </w:lvl>
    <w:lvl w:ilvl="6" w:tplc="A184DEB2" w:tentative="1">
      <w:start w:val="1"/>
      <w:numFmt w:val="bullet"/>
      <w:lvlText w:val=""/>
      <w:lvlJc w:val="left"/>
      <w:pPr>
        <w:tabs>
          <w:tab w:val="num" w:pos="5040"/>
        </w:tabs>
        <w:ind w:left="5040" w:hanging="360"/>
      </w:pPr>
      <w:rPr>
        <w:rFonts w:ascii="Symbol" w:hAnsi="Symbol" w:hint="default"/>
      </w:rPr>
    </w:lvl>
    <w:lvl w:ilvl="7" w:tplc="D1CE61DE" w:tentative="1">
      <w:start w:val="1"/>
      <w:numFmt w:val="bullet"/>
      <w:lvlText w:val="o"/>
      <w:lvlJc w:val="left"/>
      <w:pPr>
        <w:tabs>
          <w:tab w:val="num" w:pos="5760"/>
        </w:tabs>
        <w:ind w:left="5760" w:hanging="360"/>
      </w:pPr>
      <w:rPr>
        <w:rFonts w:ascii="Courier New" w:hAnsi="Courier New" w:hint="default"/>
      </w:rPr>
    </w:lvl>
    <w:lvl w:ilvl="8" w:tplc="FADC8E74" w:tentative="1">
      <w:start w:val="1"/>
      <w:numFmt w:val="bullet"/>
      <w:lvlText w:val=""/>
      <w:lvlJc w:val="left"/>
      <w:pPr>
        <w:tabs>
          <w:tab w:val="num" w:pos="6480"/>
        </w:tabs>
        <w:ind w:left="6480" w:hanging="360"/>
      </w:pPr>
      <w:rPr>
        <w:rFonts w:ascii="Wingdings" w:hAnsi="Wingdings" w:hint="default"/>
      </w:rPr>
    </w:lvl>
  </w:abstractNum>
  <w:abstractNum w:abstractNumId="14">
    <w:nsid w:val="32355AC0"/>
    <w:multiLevelType w:val="multilevel"/>
    <w:tmpl w:val="CF4E77C0"/>
    <w:styleLink w:val="Styl6"/>
    <w:lvl w:ilvl="0">
      <w:start w:val="8"/>
      <w:numFmt w:val="decimal"/>
      <w:lvlText w:val="%1."/>
      <w:lvlJc w:val="left"/>
      <w:pPr>
        <w:ind w:left="720" w:hanging="360"/>
      </w:pPr>
      <w:rPr>
        <w:rFonts w:ascii="Arial" w:hAnsi="Arial" w:hint="default"/>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351C27A4"/>
    <w:multiLevelType w:val="multilevel"/>
    <w:tmpl w:val="4F0E4C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pStyle w:val="Nadpis5"/>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366617A7"/>
    <w:multiLevelType w:val="hybridMultilevel"/>
    <w:tmpl w:val="1CE00E5E"/>
    <w:lvl w:ilvl="0" w:tplc="61E893EA">
      <w:start w:val="3"/>
      <w:numFmt w:val="bullet"/>
      <w:lvlText w:val="-"/>
      <w:lvlJc w:val="left"/>
      <w:pPr>
        <w:tabs>
          <w:tab w:val="num" w:pos="1068"/>
        </w:tabs>
        <w:ind w:left="1068" w:hanging="360"/>
      </w:pPr>
      <w:rPr>
        <w:rFonts w:ascii="Times New Roman" w:eastAsia="Times New Roman" w:hAnsi="Times New Roman" w:cs="Times New Roman" w:hint="default"/>
      </w:rPr>
    </w:lvl>
    <w:lvl w:ilvl="1" w:tplc="DEFE4868" w:tentative="1">
      <w:start w:val="1"/>
      <w:numFmt w:val="bullet"/>
      <w:lvlText w:val="o"/>
      <w:lvlJc w:val="left"/>
      <w:pPr>
        <w:tabs>
          <w:tab w:val="num" w:pos="1788"/>
        </w:tabs>
        <w:ind w:left="1788" w:hanging="360"/>
      </w:pPr>
      <w:rPr>
        <w:rFonts w:ascii="Courier New" w:hAnsi="Courier New" w:hint="default"/>
      </w:rPr>
    </w:lvl>
    <w:lvl w:ilvl="2" w:tplc="19762D3C" w:tentative="1">
      <w:start w:val="1"/>
      <w:numFmt w:val="bullet"/>
      <w:lvlText w:val=""/>
      <w:lvlJc w:val="left"/>
      <w:pPr>
        <w:tabs>
          <w:tab w:val="num" w:pos="2508"/>
        </w:tabs>
        <w:ind w:left="2508" w:hanging="360"/>
      </w:pPr>
      <w:rPr>
        <w:rFonts w:ascii="Wingdings" w:hAnsi="Wingdings" w:hint="default"/>
      </w:rPr>
    </w:lvl>
    <w:lvl w:ilvl="3" w:tplc="AD4601C6" w:tentative="1">
      <w:start w:val="1"/>
      <w:numFmt w:val="bullet"/>
      <w:lvlText w:val=""/>
      <w:lvlJc w:val="left"/>
      <w:pPr>
        <w:tabs>
          <w:tab w:val="num" w:pos="3228"/>
        </w:tabs>
        <w:ind w:left="3228" w:hanging="360"/>
      </w:pPr>
      <w:rPr>
        <w:rFonts w:ascii="Symbol" w:hAnsi="Symbol" w:hint="default"/>
      </w:rPr>
    </w:lvl>
    <w:lvl w:ilvl="4" w:tplc="4E708514" w:tentative="1">
      <w:start w:val="1"/>
      <w:numFmt w:val="bullet"/>
      <w:lvlText w:val="o"/>
      <w:lvlJc w:val="left"/>
      <w:pPr>
        <w:tabs>
          <w:tab w:val="num" w:pos="3948"/>
        </w:tabs>
        <w:ind w:left="3948" w:hanging="360"/>
      </w:pPr>
      <w:rPr>
        <w:rFonts w:ascii="Courier New" w:hAnsi="Courier New" w:hint="default"/>
      </w:rPr>
    </w:lvl>
    <w:lvl w:ilvl="5" w:tplc="EEFCC05E" w:tentative="1">
      <w:start w:val="1"/>
      <w:numFmt w:val="bullet"/>
      <w:lvlText w:val=""/>
      <w:lvlJc w:val="left"/>
      <w:pPr>
        <w:tabs>
          <w:tab w:val="num" w:pos="4668"/>
        </w:tabs>
        <w:ind w:left="4668" w:hanging="360"/>
      </w:pPr>
      <w:rPr>
        <w:rFonts w:ascii="Wingdings" w:hAnsi="Wingdings" w:hint="default"/>
      </w:rPr>
    </w:lvl>
    <w:lvl w:ilvl="6" w:tplc="83A4C5D2" w:tentative="1">
      <w:start w:val="1"/>
      <w:numFmt w:val="bullet"/>
      <w:lvlText w:val=""/>
      <w:lvlJc w:val="left"/>
      <w:pPr>
        <w:tabs>
          <w:tab w:val="num" w:pos="5388"/>
        </w:tabs>
        <w:ind w:left="5388" w:hanging="360"/>
      </w:pPr>
      <w:rPr>
        <w:rFonts w:ascii="Symbol" w:hAnsi="Symbol" w:hint="default"/>
      </w:rPr>
    </w:lvl>
    <w:lvl w:ilvl="7" w:tplc="99B2C240" w:tentative="1">
      <w:start w:val="1"/>
      <w:numFmt w:val="bullet"/>
      <w:lvlText w:val="o"/>
      <w:lvlJc w:val="left"/>
      <w:pPr>
        <w:tabs>
          <w:tab w:val="num" w:pos="6108"/>
        </w:tabs>
        <w:ind w:left="6108" w:hanging="360"/>
      </w:pPr>
      <w:rPr>
        <w:rFonts w:ascii="Courier New" w:hAnsi="Courier New" w:hint="default"/>
      </w:rPr>
    </w:lvl>
    <w:lvl w:ilvl="8" w:tplc="B350A714" w:tentative="1">
      <w:start w:val="1"/>
      <w:numFmt w:val="bullet"/>
      <w:lvlText w:val=""/>
      <w:lvlJc w:val="left"/>
      <w:pPr>
        <w:tabs>
          <w:tab w:val="num" w:pos="6828"/>
        </w:tabs>
        <w:ind w:left="6828" w:hanging="360"/>
      </w:pPr>
      <w:rPr>
        <w:rFonts w:ascii="Wingdings" w:hAnsi="Wingdings" w:hint="default"/>
      </w:rPr>
    </w:lvl>
  </w:abstractNum>
  <w:abstractNum w:abstractNumId="17">
    <w:nsid w:val="369D7471"/>
    <w:multiLevelType w:val="hybridMultilevel"/>
    <w:tmpl w:val="BADAED88"/>
    <w:lvl w:ilvl="0" w:tplc="4C12AC06">
      <w:start w:val="3"/>
      <w:numFmt w:val="bullet"/>
      <w:lvlText w:val="-"/>
      <w:lvlJc w:val="left"/>
      <w:pPr>
        <w:tabs>
          <w:tab w:val="num" w:pos="1068"/>
        </w:tabs>
        <w:ind w:left="1068" w:hanging="360"/>
      </w:pPr>
      <w:rPr>
        <w:rFonts w:ascii="Times New Roman" w:eastAsia="Times New Roman" w:hAnsi="Times New Roman" w:cs="Times New Roman" w:hint="default"/>
      </w:rPr>
    </w:lvl>
    <w:lvl w:ilvl="1" w:tplc="FE4C622A" w:tentative="1">
      <w:start w:val="1"/>
      <w:numFmt w:val="bullet"/>
      <w:lvlText w:val="o"/>
      <w:lvlJc w:val="left"/>
      <w:pPr>
        <w:tabs>
          <w:tab w:val="num" w:pos="1788"/>
        </w:tabs>
        <w:ind w:left="1788" w:hanging="360"/>
      </w:pPr>
      <w:rPr>
        <w:rFonts w:ascii="Courier New" w:hAnsi="Courier New" w:hint="default"/>
      </w:rPr>
    </w:lvl>
    <w:lvl w:ilvl="2" w:tplc="5EF8E9B2" w:tentative="1">
      <w:start w:val="1"/>
      <w:numFmt w:val="bullet"/>
      <w:lvlText w:val=""/>
      <w:lvlJc w:val="left"/>
      <w:pPr>
        <w:tabs>
          <w:tab w:val="num" w:pos="2508"/>
        </w:tabs>
        <w:ind w:left="2508" w:hanging="360"/>
      </w:pPr>
      <w:rPr>
        <w:rFonts w:ascii="Wingdings" w:hAnsi="Wingdings" w:hint="default"/>
      </w:rPr>
    </w:lvl>
    <w:lvl w:ilvl="3" w:tplc="035C246C" w:tentative="1">
      <w:start w:val="1"/>
      <w:numFmt w:val="bullet"/>
      <w:lvlText w:val=""/>
      <w:lvlJc w:val="left"/>
      <w:pPr>
        <w:tabs>
          <w:tab w:val="num" w:pos="3228"/>
        </w:tabs>
        <w:ind w:left="3228" w:hanging="360"/>
      </w:pPr>
      <w:rPr>
        <w:rFonts w:ascii="Symbol" w:hAnsi="Symbol" w:hint="default"/>
      </w:rPr>
    </w:lvl>
    <w:lvl w:ilvl="4" w:tplc="B70E1170" w:tentative="1">
      <w:start w:val="1"/>
      <w:numFmt w:val="bullet"/>
      <w:lvlText w:val="o"/>
      <w:lvlJc w:val="left"/>
      <w:pPr>
        <w:tabs>
          <w:tab w:val="num" w:pos="3948"/>
        </w:tabs>
        <w:ind w:left="3948" w:hanging="360"/>
      </w:pPr>
      <w:rPr>
        <w:rFonts w:ascii="Courier New" w:hAnsi="Courier New" w:hint="default"/>
      </w:rPr>
    </w:lvl>
    <w:lvl w:ilvl="5" w:tplc="5ABA1C6A" w:tentative="1">
      <w:start w:val="1"/>
      <w:numFmt w:val="bullet"/>
      <w:lvlText w:val=""/>
      <w:lvlJc w:val="left"/>
      <w:pPr>
        <w:tabs>
          <w:tab w:val="num" w:pos="4668"/>
        </w:tabs>
        <w:ind w:left="4668" w:hanging="360"/>
      </w:pPr>
      <w:rPr>
        <w:rFonts w:ascii="Wingdings" w:hAnsi="Wingdings" w:hint="default"/>
      </w:rPr>
    </w:lvl>
    <w:lvl w:ilvl="6" w:tplc="7884DEDA" w:tentative="1">
      <w:start w:val="1"/>
      <w:numFmt w:val="bullet"/>
      <w:lvlText w:val=""/>
      <w:lvlJc w:val="left"/>
      <w:pPr>
        <w:tabs>
          <w:tab w:val="num" w:pos="5388"/>
        </w:tabs>
        <w:ind w:left="5388" w:hanging="360"/>
      </w:pPr>
      <w:rPr>
        <w:rFonts w:ascii="Symbol" w:hAnsi="Symbol" w:hint="default"/>
      </w:rPr>
    </w:lvl>
    <w:lvl w:ilvl="7" w:tplc="D11E021C" w:tentative="1">
      <w:start w:val="1"/>
      <w:numFmt w:val="bullet"/>
      <w:lvlText w:val="o"/>
      <w:lvlJc w:val="left"/>
      <w:pPr>
        <w:tabs>
          <w:tab w:val="num" w:pos="6108"/>
        </w:tabs>
        <w:ind w:left="6108" w:hanging="360"/>
      </w:pPr>
      <w:rPr>
        <w:rFonts w:ascii="Courier New" w:hAnsi="Courier New" w:hint="default"/>
      </w:rPr>
    </w:lvl>
    <w:lvl w:ilvl="8" w:tplc="5D7254C0" w:tentative="1">
      <w:start w:val="1"/>
      <w:numFmt w:val="bullet"/>
      <w:lvlText w:val=""/>
      <w:lvlJc w:val="left"/>
      <w:pPr>
        <w:tabs>
          <w:tab w:val="num" w:pos="6828"/>
        </w:tabs>
        <w:ind w:left="6828" w:hanging="360"/>
      </w:pPr>
      <w:rPr>
        <w:rFonts w:ascii="Wingdings" w:hAnsi="Wingdings" w:hint="default"/>
      </w:rPr>
    </w:lvl>
  </w:abstractNum>
  <w:abstractNum w:abstractNumId="18">
    <w:nsid w:val="3BBB3039"/>
    <w:multiLevelType w:val="multilevel"/>
    <w:tmpl w:val="0405001D"/>
    <w:styleLink w:val="Sty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E1273B5"/>
    <w:multiLevelType w:val="multilevel"/>
    <w:tmpl w:val="0405001D"/>
    <w:styleLink w:val="Styl9"/>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EE1007C"/>
    <w:multiLevelType w:val="multilevel"/>
    <w:tmpl w:val="D2F22594"/>
    <w:styleLink w:val="Styl5"/>
    <w:lvl w:ilvl="0">
      <w:start w:val="7"/>
      <w:numFmt w:val="decimal"/>
      <w:lvlText w:val="%1."/>
      <w:lvlJc w:val="left"/>
      <w:pPr>
        <w:ind w:left="720" w:hanging="360"/>
      </w:pPr>
      <w:rPr>
        <w:rFonts w:ascii="Arial" w:hAnsi="Arial" w:hint="default"/>
        <w:sz w:val="28"/>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3F58531E"/>
    <w:multiLevelType w:val="hybridMultilevel"/>
    <w:tmpl w:val="419AFC7C"/>
    <w:lvl w:ilvl="0" w:tplc="0405000F">
      <w:start w:val="1"/>
      <w:numFmt w:val="decimal"/>
      <w:lvlText w:val="%1."/>
      <w:lvlJc w:val="left"/>
      <w:pPr>
        <w:ind w:left="68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152228F"/>
    <w:multiLevelType w:val="hybridMultilevel"/>
    <w:tmpl w:val="E5DCC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3E605BA"/>
    <w:multiLevelType w:val="hybridMultilevel"/>
    <w:tmpl w:val="06B841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A607915"/>
    <w:multiLevelType w:val="multilevel"/>
    <w:tmpl w:val="D1261EF4"/>
    <w:lvl w:ilvl="0">
      <w:start w:val="1"/>
      <w:numFmt w:val="none"/>
      <w:lvlText w:val="1."/>
      <w:lvlJc w:val="left"/>
      <w:pPr>
        <w:ind w:left="720" w:hanging="720"/>
      </w:pPr>
      <w:rPr>
        <w:rFonts w:ascii="Arial" w:hAnsi="Arial" w:hint="default"/>
        <w:b/>
        <w:i w:val="0"/>
        <w:sz w:val="32"/>
      </w:rPr>
    </w:lvl>
    <w:lvl w:ilvl="1">
      <w:start w:val="1"/>
      <w:numFmt w:val="decimal"/>
      <w:pStyle w:val="Podtitu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nsid w:val="4D9800EE"/>
    <w:multiLevelType w:val="multilevel"/>
    <w:tmpl w:val="C6BE134C"/>
    <w:lvl w:ilvl="0">
      <w:start w:val="1"/>
      <w:numFmt w:val="decimal"/>
      <w:lvlText w:val="%1."/>
      <w:lvlJc w:val="left"/>
      <w:pPr>
        <w:ind w:left="720" w:hanging="360"/>
      </w:pPr>
      <w:rPr>
        <w:rFonts w:hint="default"/>
        <w:b w:val="0"/>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nsid w:val="4FD31589"/>
    <w:multiLevelType w:val="multilevel"/>
    <w:tmpl w:val="DE10C832"/>
    <w:styleLink w:val="Styl16"/>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nsid w:val="51B67423"/>
    <w:multiLevelType w:val="multilevel"/>
    <w:tmpl w:val="10224122"/>
    <w:styleLink w:val="Styl14"/>
    <w:lvl w:ilvl="0">
      <w:start w:val="1"/>
      <w:numFmt w:val="upperRoman"/>
      <w:lvlText w:val="%1."/>
      <w:lvlJc w:val="right"/>
      <w:pPr>
        <w:ind w:left="862"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468" w:hanging="1800"/>
      </w:pPr>
      <w:rPr>
        <w:rFonts w:hint="default"/>
      </w:rPr>
    </w:lvl>
    <w:lvl w:ilvl="8">
      <w:start w:val="1"/>
      <w:numFmt w:val="decimal"/>
      <w:isLgl/>
      <w:lvlText w:val="%1.%2.%3.%4.%5.%6.%7.%8.%9."/>
      <w:lvlJc w:val="left"/>
      <w:pPr>
        <w:ind w:left="4046" w:hanging="2160"/>
      </w:pPr>
      <w:rPr>
        <w:rFonts w:hint="default"/>
      </w:rPr>
    </w:lvl>
  </w:abstractNum>
  <w:abstractNum w:abstractNumId="28">
    <w:nsid w:val="52E900A6"/>
    <w:multiLevelType w:val="multilevel"/>
    <w:tmpl w:val="7F1A8332"/>
    <w:styleLink w:val="Styl10"/>
    <w:lvl w:ilvl="0">
      <w:start w:val="11"/>
      <w:numFmt w:val="decimal"/>
      <w:lvlText w:val="%1."/>
      <w:lvlJc w:val="left"/>
      <w:pPr>
        <w:ind w:left="360" w:hanging="360"/>
      </w:pPr>
      <w:rPr>
        <w:rFonts w:ascii="Arial" w:hAnsi="Arial" w:hint="default"/>
        <w:b/>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55E47DF"/>
    <w:multiLevelType w:val="hybridMultilevel"/>
    <w:tmpl w:val="FD207BDA"/>
    <w:lvl w:ilvl="0" w:tplc="07208F32">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7B46308"/>
    <w:multiLevelType w:val="multilevel"/>
    <w:tmpl w:val="CB74B57A"/>
    <w:lvl w:ilvl="0">
      <w:start w:val="1"/>
      <w:numFmt w:val="decimal"/>
      <w:lvlText w:val="%1."/>
      <w:lvlJc w:val="left"/>
      <w:pPr>
        <w:ind w:left="502" w:hanging="360"/>
      </w:pPr>
      <w:rPr>
        <w:rFonts w:hint="default"/>
        <w:b/>
        <w:sz w:val="32"/>
        <w:szCs w:val="32"/>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31">
    <w:nsid w:val="588A6AB8"/>
    <w:multiLevelType w:val="hybridMultilevel"/>
    <w:tmpl w:val="82EE5704"/>
    <w:lvl w:ilvl="0" w:tplc="B914C9F4">
      <w:start w:val="17"/>
      <w:numFmt w:val="bullet"/>
      <w:lvlText w:val="-"/>
      <w:lvlJc w:val="left"/>
      <w:pPr>
        <w:ind w:left="360" w:hanging="360"/>
      </w:pPr>
      <w:rPr>
        <w:rFonts w:ascii="Arial" w:eastAsia="Times New Roman" w:hAnsi="Arial" w:cs="Arial" w:hint="default"/>
      </w:rPr>
    </w:lvl>
    <w:lvl w:ilvl="1" w:tplc="26B2F4F8" w:tentative="1">
      <w:start w:val="1"/>
      <w:numFmt w:val="bullet"/>
      <w:lvlText w:val="o"/>
      <w:lvlJc w:val="left"/>
      <w:pPr>
        <w:ind w:left="1080" w:hanging="360"/>
      </w:pPr>
      <w:rPr>
        <w:rFonts w:ascii="Courier New" w:hAnsi="Courier New" w:cs="Courier New" w:hint="default"/>
      </w:rPr>
    </w:lvl>
    <w:lvl w:ilvl="2" w:tplc="5410466E" w:tentative="1">
      <w:start w:val="1"/>
      <w:numFmt w:val="bullet"/>
      <w:lvlText w:val=""/>
      <w:lvlJc w:val="left"/>
      <w:pPr>
        <w:ind w:left="1800" w:hanging="360"/>
      </w:pPr>
      <w:rPr>
        <w:rFonts w:ascii="Wingdings" w:hAnsi="Wingdings" w:hint="default"/>
      </w:rPr>
    </w:lvl>
    <w:lvl w:ilvl="3" w:tplc="51AA4A20" w:tentative="1">
      <w:start w:val="1"/>
      <w:numFmt w:val="bullet"/>
      <w:lvlText w:val=""/>
      <w:lvlJc w:val="left"/>
      <w:pPr>
        <w:ind w:left="2520" w:hanging="360"/>
      </w:pPr>
      <w:rPr>
        <w:rFonts w:ascii="Symbol" w:hAnsi="Symbol" w:hint="default"/>
      </w:rPr>
    </w:lvl>
    <w:lvl w:ilvl="4" w:tplc="3A0E74AC" w:tentative="1">
      <w:start w:val="1"/>
      <w:numFmt w:val="bullet"/>
      <w:lvlText w:val="o"/>
      <w:lvlJc w:val="left"/>
      <w:pPr>
        <w:ind w:left="3240" w:hanging="360"/>
      </w:pPr>
      <w:rPr>
        <w:rFonts w:ascii="Courier New" w:hAnsi="Courier New" w:cs="Courier New" w:hint="default"/>
      </w:rPr>
    </w:lvl>
    <w:lvl w:ilvl="5" w:tplc="4AE0E53E" w:tentative="1">
      <w:start w:val="1"/>
      <w:numFmt w:val="bullet"/>
      <w:lvlText w:val=""/>
      <w:lvlJc w:val="left"/>
      <w:pPr>
        <w:ind w:left="3960" w:hanging="360"/>
      </w:pPr>
      <w:rPr>
        <w:rFonts w:ascii="Wingdings" w:hAnsi="Wingdings" w:hint="default"/>
      </w:rPr>
    </w:lvl>
    <w:lvl w:ilvl="6" w:tplc="3E10757C" w:tentative="1">
      <w:start w:val="1"/>
      <w:numFmt w:val="bullet"/>
      <w:lvlText w:val=""/>
      <w:lvlJc w:val="left"/>
      <w:pPr>
        <w:ind w:left="4680" w:hanging="360"/>
      </w:pPr>
      <w:rPr>
        <w:rFonts w:ascii="Symbol" w:hAnsi="Symbol" w:hint="default"/>
      </w:rPr>
    </w:lvl>
    <w:lvl w:ilvl="7" w:tplc="B4FCC00A" w:tentative="1">
      <w:start w:val="1"/>
      <w:numFmt w:val="bullet"/>
      <w:lvlText w:val="o"/>
      <w:lvlJc w:val="left"/>
      <w:pPr>
        <w:ind w:left="5400" w:hanging="360"/>
      </w:pPr>
      <w:rPr>
        <w:rFonts w:ascii="Courier New" w:hAnsi="Courier New" w:cs="Courier New" w:hint="default"/>
      </w:rPr>
    </w:lvl>
    <w:lvl w:ilvl="8" w:tplc="BA42299C" w:tentative="1">
      <w:start w:val="1"/>
      <w:numFmt w:val="bullet"/>
      <w:lvlText w:val=""/>
      <w:lvlJc w:val="left"/>
      <w:pPr>
        <w:ind w:left="6120" w:hanging="360"/>
      </w:pPr>
      <w:rPr>
        <w:rFonts w:ascii="Wingdings" w:hAnsi="Wingdings" w:hint="default"/>
      </w:rPr>
    </w:lvl>
  </w:abstractNum>
  <w:abstractNum w:abstractNumId="32">
    <w:nsid w:val="646671F0"/>
    <w:multiLevelType w:val="multilevel"/>
    <w:tmpl w:val="71AC50EA"/>
    <w:lvl w:ilvl="0">
      <w:start w:val="2"/>
      <w:numFmt w:val="decimal"/>
      <w:pStyle w:val="Dilonadpis1"/>
      <w:lvlText w:val="%1."/>
      <w:lvlJc w:val="left"/>
      <w:pPr>
        <w:ind w:left="927" w:hanging="360"/>
      </w:pPr>
      <w:rPr>
        <w:rFonts w:hint="default"/>
      </w:rPr>
    </w:lvl>
    <w:lvl w:ilvl="1">
      <w:start w:val="1"/>
      <w:numFmt w:val="decimal"/>
      <w:pStyle w:val="Nadpis3"/>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33">
    <w:nsid w:val="67945AC8"/>
    <w:multiLevelType w:val="multilevel"/>
    <w:tmpl w:val="E9DC32DE"/>
    <w:styleLink w:val="Styl11"/>
    <w:lvl w:ilvl="0">
      <w:numFmt w:val="none"/>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38C128D"/>
    <w:multiLevelType w:val="hybridMultilevel"/>
    <w:tmpl w:val="DBE6BD38"/>
    <w:lvl w:ilvl="0" w:tplc="04050005">
      <w:start w:val="2"/>
      <w:numFmt w:val="bullet"/>
      <w:pStyle w:val="odrkyzlevaodsazeno0"/>
      <w:lvlText w:val="-"/>
      <w:lvlJc w:val="left"/>
      <w:pPr>
        <w:ind w:left="720" w:hanging="360"/>
      </w:pPr>
      <w:rPr>
        <w:rFonts w:ascii="Arial" w:eastAsia="Calibri" w:hAnsi="Arial" w:cs="Aria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5">
    <w:nsid w:val="789B2EEE"/>
    <w:multiLevelType w:val="multilevel"/>
    <w:tmpl w:val="DEF6302C"/>
    <w:styleLink w:val="Styl12"/>
    <w:lvl w:ilvl="0">
      <w:start w:val="1"/>
      <w:numFmt w:val="decimal"/>
      <w:lvlText w:val="%1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34"/>
  </w:num>
  <w:num w:numId="3">
    <w:abstractNumId w:val="13"/>
  </w:num>
  <w:num w:numId="4">
    <w:abstractNumId w:val="16"/>
  </w:num>
  <w:num w:numId="5">
    <w:abstractNumId w:val="17"/>
  </w:num>
  <w:num w:numId="6">
    <w:abstractNumId w:val="9"/>
  </w:num>
  <w:num w:numId="7">
    <w:abstractNumId w:val="31"/>
  </w:num>
  <w:num w:numId="8">
    <w:abstractNumId w:val="5"/>
  </w:num>
  <w:num w:numId="9">
    <w:abstractNumId w:val="11"/>
  </w:num>
  <w:num w:numId="10">
    <w:abstractNumId w:val="1"/>
  </w:num>
  <w:num w:numId="11">
    <w:abstractNumId w:val="20"/>
  </w:num>
  <w:num w:numId="12">
    <w:abstractNumId w:val="14"/>
  </w:num>
  <w:num w:numId="13">
    <w:abstractNumId w:val="18"/>
  </w:num>
  <w:num w:numId="14">
    <w:abstractNumId w:val="2"/>
  </w:num>
  <w:num w:numId="15">
    <w:abstractNumId w:val="8"/>
  </w:num>
  <w:num w:numId="16">
    <w:abstractNumId w:val="19"/>
  </w:num>
  <w:num w:numId="17">
    <w:abstractNumId w:val="28"/>
  </w:num>
  <w:num w:numId="18">
    <w:abstractNumId w:val="33"/>
  </w:num>
  <w:num w:numId="19">
    <w:abstractNumId w:val="35"/>
  </w:num>
  <w:num w:numId="20">
    <w:abstractNumId w:val="0"/>
  </w:num>
  <w:num w:numId="21">
    <w:abstractNumId w:val="27"/>
  </w:num>
  <w:num w:numId="22">
    <w:abstractNumId w:val="3"/>
  </w:num>
  <w:num w:numId="23">
    <w:abstractNumId w:val="24"/>
  </w:num>
  <w:num w:numId="24">
    <w:abstractNumId w:val="26"/>
  </w:num>
  <w:num w:numId="25">
    <w:abstractNumId w:val="10"/>
  </w:num>
  <w:num w:numId="26">
    <w:abstractNumId w:val="30"/>
  </w:num>
  <w:num w:numId="27">
    <w:abstractNumId w:val="15"/>
  </w:num>
  <w:num w:numId="28">
    <w:abstractNumId w:val="23"/>
  </w:num>
  <w:num w:numId="29">
    <w:abstractNumId w:val="21"/>
  </w:num>
  <w:num w:numId="30">
    <w:abstractNumId w:val="12"/>
  </w:num>
  <w:num w:numId="31">
    <w:abstractNumId w:val="4"/>
  </w:num>
  <w:num w:numId="32">
    <w:abstractNumId w:val="25"/>
  </w:num>
  <w:num w:numId="33">
    <w:abstractNumId w:val="30"/>
    <w:lvlOverride w:ilvl="0">
      <w:startOverride w:val="3"/>
    </w:lvlOverride>
    <w:lvlOverride w:ilvl="1">
      <w:startOverride w:val="1"/>
    </w:lvlOverride>
  </w:num>
  <w:num w:numId="34">
    <w:abstractNumId w:val="30"/>
    <w:lvlOverride w:ilvl="0">
      <w:startOverride w:val="4"/>
    </w:lvlOverride>
    <w:lvlOverride w:ilvl="1">
      <w:startOverride w:val="1"/>
    </w:lvlOverride>
  </w:num>
  <w:num w:numId="35">
    <w:abstractNumId w:val="30"/>
    <w:lvlOverride w:ilvl="0">
      <w:startOverride w:val="5"/>
    </w:lvlOverride>
    <w:lvlOverride w:ilvl="1">
      <w:startOverride w:val="1"/>
    </w:lvlOverride>
  </w:num>
  <w:num w:numId="36">
    <w:abstractNumId w:val="30"/>
    <w:lvlOverride w:ilvl="0">
      <w:startOverride w:val="6"/>
    </w:lvlOverride>
    <w:lvlOverride w:ilvl="1">
      <w:startOverride w:val="1"/>
    </w:lvlOverride>
  </w:num>
  <w:num w:numId="37">
    <w:abstractNumId w:val="30"/>
    <w:lvlOverride w:ilvl="0">
      <w:startOverride w:val="9"/>
    </w:lvlOverride>
    <w:lvlOverride w:ilvl="1">
      <w:startOverride w:val="1"/>
    </w:lvlOverride>
  </w:num>
  <w:num w:numId="38">
    <w:abstractNumId w:val="30"/>
    <w:lvlOverride w:ilvl="0">
      <w:startOverride w:val="13"/>
    </w:lvlOverride>
    <w:lvlOverride w:ilvl="1">
      <w:startOverride w:val="1"/>
    </w:lvlOverride>
  </w:num>
  <w:num w:numId="39">
    <w:abstractNumId w:val="30"/>
    <w:lvlOverride w:ilvl="0">
      <w:startOverride w:val="15"/>
    </w:lvlOverride>
    <w:lvlOverride w:ilvl="1">
      <w:startOverride w:val="1"/>
    </w:lvlOverride>
  </w:num>
  <w:num w:numId="40">
    <w:abstractNumId w:val="22"/>
  </w:num>
  <w:num w:numId="41">
    <w:abstractNumId w:val="29"/>
  </w:num>
  <w:num w:numId="42">
    <w:abstractNumId w:val="6"/>
  </w:num>
  <w:num w:numId="43">
    <w:abstractNumId w:val="30"/>
    <w:lvlOverride w:ilvl="0">
      <w:startOverride w:val="1"/>
    </w:lvlOverride>
    <w:lvlOverride w:ilvl="1">
      <w:startOverride w:val="1"/>
    </w:lvlOverride>
  </w:num>
  <w:num w:numId="44">
    <w:abstractNumId w:val="30"/>
    <w:lvlOverride w:ilvl="0">
      <w:startOverride w:val="10"/>
    </w:lvlOverride>
    <w:lvlOverride w:ilvl="1">
      <w:startOverride w:val="1"/>
    </w:lvlOverride>
  </w:num>
  <w:num w:numId="45">
    <w:abstractNumId w:val="30"/>
    <w:lvlOverride w:ilvl="0">
      <w:startOverride w:val="11"/>
    </w:lvlOverride>
    <w:lvlOverride w:ilvl="1">
      <w:startOverride w:val="1"/>
    </w:lvlOverride>
  </w:num>
  <w:num w:numId="46">
    <w:abstractNumId w:val="3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autoHyphenation/>
  <w:hyphenationZone w:val="425"/>
  <w:drawingGridHorizontalSpacing w:val="110"/>
  <w:displayHorizontalDrawingGridEvery w:val="2"/>
  <w:noPunctuationKerning/>
  <w:characterSpacingControl w:val="doNotCompress"/>
  <w:hdrShapeDefaults>
    <o:shapedefaults v:ext="edit" spidmax="173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7D6C"/>
    <w:rsid w:val="00001106"/>
    <w:rsid w:val="0000141F"/>
    <w:rsid w:val="000020B7"/>
    <w:rsid w:val="0000307A"/>
    <w:rsid w:val="0000337E"/>
    <w:rsid w:val="000038B4"/>
    <w:rsid w:val="00005508"/>
    <w:rsid w:val="0001570D"/>
    <w:rsid w:val="00017076"/>
    <w:rsid w:val="000204F9"/>
    <w:rsid w:val="000271AB"/>
    <w:rsid w:val="000277C5"/>
    <w:rsid w:val="000325B5"/>
    <w:rsid w:val="00035B9A"/>
    <w:rsid w:val="00037E13"/>
    <w:rsid w:val="00043751"/>
    <w:rsid w:val="00043FB9"/>
    <w:rsid w:val="00045912"/>
    <w:rsid w:val="00045B2E"/>
    <w:rsid w:val="00052602"/>
    <w:rsid w:val="0005263E"/>
    <w:rsid w:val="00052BEF"/>
    <w:rsid w:val="000565D6"/>
    <w:rsid w:val="000602ED"/>
    <w:rsid w:val="00061298"/>
    <w:rsid w:val="00061E01"/>
    <w:rsid w:val="000623EF"/>
    <w:rsid w:val="00070EC3"/>
    <w:rsid w:val="00072E6D"/>
    <w:rsid w:val="000752F4"/>
    <w:rsid w:val="00076FB4"/>
    <w:rsid w:val="00077BA7"/>
    <w:rsid w:val="00080EA1"/>
    <w:rsid w:val="00083612"/>
    <w:rsid w:val="00084534"/>
    <w:rsid w:val="00086668"/>
    <w:rsid w:val="000928DB"/>
    <w:rsid w:val="00092C19"/>
    <w:rsid w:val="00094255"/>
    <w:rsid w:val="000950F8"/>
    <w:rsid w:val="00095A45"/>
    <w:rsid w:val="00096A9F"/>
    <w:rsid w:val="00097093"/>
    <w:rsid w:val="000A028C"/>
    <w:rsid w:val="000A04A6"/>
    <w:rsid w:val="000A0863"/>
    <w:rsid w:val="000A27C7"/>
    <w:rsid w:val="000A3839"/>
    <w:rsid w:val="000A7B7E"/>
    <w:rsid w:val="000B0E27"/>
    <w:rsid w:val="000B2742"/>
    <w:rsid w:val="000B2F55"/>
    <w:rsid w:val="000B4A54"/>
    <w:rsid w:val="000B7632"/>
    <w:rsid w:val="000C3274"/>
    <w:rsid w:val="000C4E2D"/>
    <w:rsid w:val="000C6D69"/>
    <w:rsid w:val="000C6E81"/>
    <w:rsid w:val="000C73FB"/>
    <w:rsid w:val="000D11A9"/>
    <w:rsid w:val="000D2CD7"/>
    <w:rsid w:val="000D312D"/>
    <w:rsid w:val="000D45EF"/>
    <w:rsid w:val="000D55BE"/>
    <w:rsid w:val="000D6A89"/>
    <w:rsid w:val="000E39B9"/>
    <w:rsid w:val="000E3E20"/>
    <w:rsid w:val="000E449D"/>
    <w:rsid w:val="000E525A"/>
    <w:rsid w:val="000E68E7"/>
    <w:rsid w:val="000E6995"/>
    <w:rsid w:val="000F0492"/>
    <w:rsid w:val="000F051C"/>
    <w:rsid w:val="000F0705"/>
    <w:rsid w:val="000F0968"/>
    <w:rsid w:val="00102F39"/>
    <w:rsid w:val="00103B54"/>
    <w:rsid w:val="00103CF6"/>
    <w:rsid w:val="00105EF5"/>
    <w:rsid w:val="00110DCF"/>
    <w:rsid w:val="00112A2F"/>
    <w:rsid w:val="001154CD"/>
    <w:rsid w:val="001154EA"/>
    <w:rsid w:val="00116B03"/>
    <w:rsid w:val="00117C59"/>
    <w:rsid w:val="00120F34"/>
    <w:rsid w:val="0012397A"/>
    <w:rsid w:val="001239B3"/>
    <w:rsid w:val="001242C1"/>
    <w:rsid w:val="0013222D"/>
    <w:rsid w:val="00135B2F"/>
    <w:rsid w:val="00135C2B"/>
    <w:rsid w:val="001404EF"/>
    <w:rsid w:val="00140EBA"/>
    <w:rsid w:val="00143192"/>
    <w:rsid w:val="00143825"/>
    <w:rsid w:val="00143F9D"/>
    <w:rsid w:val="00146F9D"/>
    <w:rsid w:val="00153388"/>
    <w:rsid w:val="00155F1F"/>
    <w:rsid w:val="00160022"/>
    <w:rsid w:val="001600C3"/>
    <w:rsid w:val="00161CBC"/>
    <w:rsid w:val="00163E5B"/>
    <w:rsid w:val="00164387"/>
    <w:rsid w:val="001664BB"/>
    <w:rsid w:val="00167EB9"/>
    <w:rsid w:val="00167F78"/>
    <w:rsid w:val="00170D18"/>
    <w:rsid w:val="001719E5"/>
    <w:rsid w:val="00175702"/>
    <w:rsid w:val="00176EDB"/>
    <w:rsid w:val="0018038C"/>
    <w:rsid w:val="00185E58"/>
    <w:rsid w:val="001868E9"/>
    <w:rsid w:val="00193514"/>
    <w:rsid w:val="001972BA"/>
    <w:rsid w:val="001A031F"/>
    <w:rsid w:val="001A1A05"/>
    <w:rsid w:val="001A1D59"/>
    <w:rsid w:val="001A58C5"/>
    <w:rsid w:val="001A5B6D"/>
    <w:rsid w:val="001B3D79"/>
    <w:rsid w:val="001B55BB"/>
    <w:rsid w:val="001B7ED8"/>
    <w:rsid w:val="001C4F18"/>
    <w:rsid w:val="001C71A0"/>
    <w:rsid w:val="001D1270"/>
    <w:rsid w:val="001D2BEA"/>
    <w:rsid w:val="001E0EB0"/>
    <w:rsid w:val="001E18A8"/>
    <w:rsid w:val="001E2B1E"/>
    <w:rsid w:val="001E3C17"/>
    <w:rsid w:val="001E52EC"/>
    <w:rsid w:val="001E660F"/>
    <w:rsid w:val="001E67E6"/>
    <w:rsid w:val="001E6A30"/>
    <w:rsid w:val="001F003D"/>
    <w:rsid w:val="001F12E8"/>
    <w:rsid w:val="001F34D8"/>
    <w:rsid w:val="001F519D"/>
    <w:rsid w:val="001F5768"/>
    <w:rsid w:val="001F6B70"/>
    <w:rsid w:val="001F71BA"/>
    <w:rsid w:val="001F724C"/>
    <w:rsid w:val="002003C2"/>
    <w:rsid w:val="00202DD0"/>
    <w:rsid w:val="002032AD"/>
    <w:rsid w:val="0020380C"/>
    <w:rsid w:val="00204179"/>
    <w:rsid w:val="00206078"/>
    <w:rsid w:val="00207AEC"/>
    <w:rsid w:val="0021071C"/>
    <w:rsid w:val="00211E64"/>
    <w:rsid w:val="002135DF"/>
    <w:rsid w:val="00214EC2"/>
    <w:rsid w:val="0021577F"/>
    <w:rsid w:val="00217BE5"/>
    <w:rsid w:val="002205D0"/>
    <w:rsid w:val="00221438"/>
    <w:rsid w:val="002223F9"/>
    <w:rsid w:val="002228B7"/>
    <w:rsid w:val="00224BFA"/>
    <w:rsid w:val="00225E22"/>
    <w:rsid w:val="002311FE"/>
    <w:rsid w:val="00231F90"/>
    <w:rsid w:val="00237F88"/>
    <w:rsid w:val="00240BF3"/>
    <w:rsid w:val="00240CEA"/>
    <w:rsid w:val="002416EF"/>
    <w:rsid w:val="00241D60"/>
    <w:rsid w:val="00244BD3"/>
    <w:rsid w:val="00246A1F"/>
    <w:rsid w:val="0025009E"/>
    <w:rsid w:val="0025176B"/>
    <w:rsid w:val="002518C4"/>
    <w:rsid w:val="002538EE"/>
    <w:rsid w:val="0025450E"/>
    <w:rsid w:val="002619FA"/>
    <w:rsid w:val="00262DF0"/>
    <w:rsid w:val="00263209"/>
    <w:rsid w:val="0026395F"/>
    <w:rsid w:val="00270E5A"/>
    <w:rsid w:val="00272452"/>
    <w:rsid w:val="0027247F"/>
    <w:rsid w:val="00277A0E"/>
    <w:rsid w:val="00280B3D"/>
    <w:rsid w:val="00281FD6"/>
    <w:rsid w:val="00283AF8"/>
    <w:rsid w:val="0028500B"/>
    <w:rsid w:val="00285A5B"/>
    <w:rsid w:val="002861A9"/>
    <w:rsid w:val="00286EC5"/>
    <w:rsid w:val="0029106B"/>
    <w:rsid w:val="00291788"/>
    <w:rsid w:val="00295E32"/>
    <w:rsid w:val="002A0A83"/>
    <w:rsid w:val="002A18C0"/>
    <w:rsid w:val="002A30BE"/>
    <w:rsid w:val="002A6910"/>
    <w:rsid w:val="002A6B48"/>
    <w:rsid w:val="002B1145"/>
    <w:rsid w:val="002B21BC"/>
    <w:rsid w:val="002B299E"/>
    <w:rsid w:val="002B2B9F"/>
    <w:rsid w:val="002B4087"/>
    <w:rsid w:val="002B4317"/>
    <w:rsid w:val="002B4390"/>
    <w:rsid w:val="002B5506"/>
    <w:rsid w:val="002B61CE"/>
    <w:rsid w:val="002B6BF8"/>
    <w:rsid w:val="002C18C5"/>
    <w:rsid w:val="002C1D44"/>
    <w:rsid w:val="002C1F3D"/>
    <w:rsid w:val="002C2DE4"/>
    <w:rsid w:val="002C5797"/>
    <w:rsid w:val="002C7E55"/>
    <w:rsid w:val="002D30D0"/>
    <w:rsid w:val="002D32DA"/>
    <w:rsid w:val="002D4B27"/>
    <w:rsid w:val="002D7A4E"/>
    <w:rsid w:val="002E02C6"/>
    <w:rsid w:val="002E272A"/>
    <w:rsid w:val="002E2B31"/>
    <w:rsid w:val="002E2BD1"/>
    <w:rsid w:val="002E4032"/>
    <w:rsid w:val="002E7AF0"/>
    <w:rsid w:val="002F086B"/>
    <w:rsid w:val="002F175F"/>
    <w:rsid w:val="002F29A3"/>
    <w:rsid w:val="002F2F8A"/>
    <w:rsid w:val="002F30DA"/>
    <w:rsid w:val="002F4E29"/>
    <w:rsid w:val="002F5448"/>
    <w:rsid w:val="002F5CF5"/>
    <w:rsid w:val="002F63C6"/>
    <w:rsid w:val="002F7AF4"/>
    <w:rsid w:val="00300889"/>
    <w:rsid w:val="003022B4"/>
    <w:rsid w:val="0030354A"/>
    <w:rsid w:val="00303B53"/>
    <w:rsid w:val="003074A0"/>
    <w:rsid w:val="00310F90"/>
    <w:rsid w:val="00312A7B"/>
    <w:rsid w:val="003132ED"/>
    <w:rsid w:val="00314DE5"/>
    <w:rsid w:val="00316FAF"/>
    <w:rsid w:val="00322530"/>
    <w:rsid w:val="003228B7"/>
    <w:rsid w:val="003231B1"/>
    <w:rsid w:val="00324A19"/>
    <w:rsid w:val="00325D67"/>
    <w:rsid w:val="00326A51"/>
    <w:rsid w:val="0033086D"/>
    <w:rsid w:val="00331F6F"/>
    <w:rsid w:val="003322CA"/>
    <w:rsid w:val="00332D21"/>
    <w:rsid w:val="00334268"/>
    <w:rsid w:val="003342E7"/>
    <w:rsid w:val="003359DC"/>
    <w:rsid w:val="00335B71"/>
    <w:rsid w:val="00336431"/>
    <w:rsid w:val="00342FC9"/>
    <w:rsid w:val="00343A64"/>
    <w:rsid w:val="003456C3"/>
    <w:rsid w:val="0034718E"/>
    <w:rsid w:val="003513E0"/>
    <w:rsid w:val="0035627B"/>
    <w:rsid w:val="00356542"/>
    <w:rsid w:val="00357E44"/>
    <w:rsid w:val="00361700"/>
    <w:rsid w:val="00361943"/>
    <w:rsid w:val="00363508"/>
    <w:rsid w:val="00363C27"/>
    <w:rsid w:val="003647DC"/>
    <w:rsid w:val="0037087B"/>
    <w:rsid w:val="0037144F"/>
    <w:rsid w:val="00373BE8"/>
    <w:rsid w:val="00374095"/>
    <w:rsid w:val="00377601"/>
    <w:rsid w:val="0038146A"/>
    <w:rsid w:val="00386C30"/>
    <w:rsid w:val="00386C4A"/>
    <w:rsid w:val="0039014E"/>
    <w:rsid w:val="00390A69"/>
    <w:rsid w:val="00390BCE"/>
    <w:rsid w:val="00391208"/>
    <w:rsid w:val="003912AD"/>
    <w:rsid w:val="00391B20"/>
    <w:rsid w:val="00391FA6"/>
    <w:rsid w:val="003967EA"/>
    <w:rsid w:val="00396E70"/>
    <w:rsid w:val="00396EDB"/>
    <w:rsid w:val="00397C6C"/>
    <w:rsid w:val="003A0DC2"/>
    <w:rsid w:val="003A1694"/>
    <w:rsid w:val="003A3586"/>
    <w:rsid w:val="003A3808"/>
    <w:rsid w:val="003A3A3D"/>
    <w:rsid w:val="003A6A00"/>
    <w:rsid w:val="003A7B42"/>
    <w:rsid w:val="003B0292"/>
    <w:rsid w:val="003B03EE"/>
    <w:rsid w:val="003B4641"/>
    <w:rsid w:val="003C0EA8"/>
    <w:rsid w:val="003C5ADA"/>
    <w:rsid w:val="003C5F53"/>
    <w:rsid w:val="003C665B"/>
    <w:rsid w:val="003D7D12"/>
    <w:rsid w:val="003E6409"/>
    <w:rsid w:val="003F0F14"/>
    <w:rsid w:val="003F1949"/>
    <w:rsid w:val="003F1D27"/>
    <w:rsid w:val="003F7978"/>
    <w:rsid w:val="003F7FB1"/>
    <w:rsid w:val="00401A37"/>
    <w:rsid w:val="00402FD0"/>
    <w:rsid w:val="004039E2"/>
    <w:rsid w:val="00405755"/>
    <w:rsid w:val="00405D02"/>
    <w:rsid w:val="00410BBC"/>
    <w:rsid w:val="00415538"/>
    <w:rsid w:val="00416AE7"/>
    <w:rsid w:val="00416C9D"/>
    <w:rsid w:val="00417DC1"/>
    <w:rsid w:val="00423A30"/>
    <w:rsid w:val="004243C7"/>
    <w:rsid w:val="00427F1E"/>
    <w:rsid w:val="00432A2F"/>
    <w:rsid w:val="0043341E"/>
    <w:rsid w:val="0043393C"/>
    <w:rsid w:val="00434D35"/>
    <w:rsid w:val="00435A58"/>
    <w:rsid w:val="004376D1"/>
    <w:rsid w:val="00437979"/>
    <w:rsid w:val="00437C46"/>
    <w:rsid w:val="0044158F"/>
    <w:rsid w:val="00441ACA"/>
    <w:rsid w:val="00442454"/>
    <w:rsid w:val="004457B5"/>
    <w:rsid w:val="00445DEF"/>
    <w:rsid w:val="004471FA"/>
    <w:rsid w:val="00452700"/>
    <w:rsid w:val="00453073"/>
    <w:rsid w:val="00453D49"/>
    <w:rsid w:val="00455146"/>
    <w:rsid w:val="004561FF"/>
    <w:rsid w:val="00460C80"/>
    <w:rsid w:val="00462422"/>
    <w:rsid w:val="004627EE"/>
    <w:rsid w:val="004637CB"/>
    <w:rsid w:val="00465C3F"/>
    <w:rsid w:val="00467221"/>
    <w:rsid w:val="00467420"/>
    <w:rsid w:val="004708E0"/>
    <w:rsid w:val="00473C74"/>
    <w:rsid w:val="004763C6"/>
    <w:rsid w:val="00477299"/>
    <w:rsid w:val="00477ED2"/>
    <w:rsid w:val="00480A20"/>
    <w:rsid w:val="00480A3B"/>
    <w:rsid w:val="00483515"/>
    <w:rsid w:val="004859DF"/>
    <w:rsid w:val="00485FDE"/>
    <w:rsid w:val="004875F4"/>
    <w:rsid w:val="00487BC7"/>
    <w:rsid w:val="0049103B"/>
    <w:rsid w:val="0049127F"/>
    <w:rsid w:val="0049164B"/>
    <w:rsid w:val="00492B70"/>
    <w:rsid w:val="00496DB9"/>
    <w:rsid w:val="004A0179"/>
    <w:rsid w:val="004A5521"/>
    <w:rsid w:val="004A6C50"/>
    <w:rsid w:val="004A7C11"/>
    <w:rsid w:val="004A7D4E"/>
    <w:rsid w:val="004B2479"/>
    <w:rsid w:val="004B2C7F"/>
    <w:rsid w:val="004B5B82"/>
    <w:rsid w:val="004B65CF"/>
    <w:rsid w:val="004B70F4"/>
    <w:rsid w:val="004C15A2"/>
    <w:rsid w:val="004C26A2"/>
    <w:rsid w:val="004C3D2C"/>
    <w:rsid w:val="004C472E"/>
    <w:rsid w:val="004D05AC"/>
    <w:rsid w:val="004D11DC"/>
    <w:rsid w:val="004D14AA"/>
    <w:rsid w:val="004D3DC1"/>
    <w:rsid w:val="004D46E6"/>
    <w:rsid w:val="004D7BB7"/>
    <w:rsid w:val="004E4CC7"/>
    <w:rsid w:val="004E60E7"/>
    <w:rsid w:val="004F004E"/>
    <w:rsid w:val="004F13C6"/>
    <w:rsid w:val="004F1401"/>
    <w:rsid w:val="004F21A3"/>
    <w:rsid w:val="004F31B0"/>
    <w:rsid w:val="004F5027"/>
    <w:rsid w:val="004F5F1B"/>
    <w:rsid w:val="004F66D9"/>
    <w:rsid w:val="004F6980"/>
    <w:rsid w:val="00500473"/>
    <w:rsid w:val="005014E0"/>
    <w:rsid w:val="005018E6"/>
    <w:rsid w:val="005027C5"/>
    <w:rsid w:val="00505084"/>
    <w:rsid w:val="00506111"/>
    <w:rsid w:val="005123E5"/>
    <w:rsid w:val="00513233"/>
    <w:rsid w:val="00515501"/>
    <w:rsid w:val="005155A7"/>
    <w:rsid w:val="00517E12"/>
    <w:rsid w:val="00522702"/>
    <w:rsid w:val="00523BF0"/>
    <w:rsid w:val="00526E5C"/>
    <w:rsid w:val="00530C1B"/>
    <w:rsid w:val="00530CBE"/>
    <w:rsid w:val="00533F76"/>
    <w:rsid w:val="00534B2F"/>
    <w:rsid w:val="005364DB"/>
    <w:rsid w:val="00541047"/>
    <w:rsid w:val="005412ED"/>
    <w:rsid w:val="005413B5"/>
    <w:rsid w:val="0054592C"/>
    <w:rsid w:val="00545B5C"/>
    <w:rsid w:val="005513EF"/>
    <w:rsid w:val="005535F3"/>
    <w:rsid w:val="00554F54"/>
    <w:rsid w:val="005609B4"/>
    <w:rsid w:val="00561119"/>
    <w:rsid w:val="00563169"/>
    <w:rsid w:val="0056378C"/>
    <w:rsid w:val="005662A0"/>
    <w:rsid w:val="005675DB"/>
    <w:rsid w:val="00567DFC"/>
    <w:rsid w:val="00572410"/>
    <w:rsid w:val="00572741"/>
    <w:rsid w:val="00572AEC"/>
    <w:rsid w:val="00572C51"/>
    <w:rsid w:val="005748D9"/>
    <w:rsid w:val="0058007C"/>
    <w:rsid w:val="00581183"/>
    <w:rsid w:val="00581C3B"/>
    <w:rsid w:val="00583120"/>
    <w:rsid w:val="00585ADB"/>
    <w:rsid w:val="00586C59"/>
    <w:rsid w:val="00591FAB"/>
    <w:rsid w:val="0059270C"/>
    <w:rsid w:val="00594105"/>
    <w:rsid w:val="005A60E0"/>
    <w:rsid w:val="005B0568"/>
    <w:rsid w:val="005B0955"/>
    <w:rsid w:val="005B1745"/>
    <w:rsid w:val="005B4223"/>
    <w:rsid w:val="005B60E8"/>
    <w:rsid w:val="005C1D3A"/>
    <w:rsid w:val="005C26B7"/>
    <w:rsid w:val="005C4C1C"/>
    <w:rsid w:val="005C4FF0"/>
    <w:rsid w:val="005C6054"/>
    <w:rsid w:val="005C61B6"/>
    <w:rsid w:val="005C655B"/>
    <w:rsid w:val="005C6747"/>
    <w:rsid w:val="005D184D"/>
    <w:rsid w:val="005D1EFD"/>
    <w:rsid w:val="005D20ED"/>
    <w:rsid w:val="005D33E2"/>
    <w:rsid w:val="005D4291"/>
    <w:rsid w:val="005D623D"/>
    <w:rsid w:val="005D683D"/>
    <w:rsid w:val="005E0BE1"/>
    <w:rsid w:val="005F01B4"/>
    <w:rsid w:val="005F1930"/>
    <w:rsid w:val="005F3166"/>
    <w:rsid w:val="005F3652"/>
    <w:rsid w:val="005F5683"/>
    <w:rsid w:val="005F5B2D"/>
    <w:rsid w:val="005F600D"/>
    <w:rsid w:val="00600041"/>
    <w:rsid w:val="006022A0"/>
    <w:rsid w:val="006027A7"/>
    <w:rsid w:val="00602B8F"/>
    <w:rsid w:val="00610DBA"/>
    <w:rsid w:val="00615F00"/>
    <w:rsid w:val="0061677D"/>
    <w:rsid w:val="00616843"/>
    <w:rsid w:val="00616966"/>
    <w:rsid w:val="00617043"/>
    <w:rsid w:val="006210F3"/>
    <w:rsid w:val="00622398"/>
    <w:rsid w:val="006238C1"/>
    <w:rsid w:val="0062687D"/>
    <w:rsid w:val="00626D81"/>
    <w:rsid w:val="00631791"/>
    <w:rsid w:val="0063240D"/>
    <w:rsid w:val="00632E94"/>
    <w:rsid w:val="00633264"/>
    <w:rsid w:val="00637145"/>
    <w:rsid w:val="00641B36"/>
    <w:rsid w:val="0064250E"/>
    <w:rsid w:val="00643B3C"/>
    <w:rsid w:val="00646E82"/>
    <w:rsid w:val="00650A13"/>
    <w:rsid w:val="00651796"/>
    <w:rsid w:val="00652FE2"/>
    <w:rsid w:val="006538EC"/>
    <w:rsid w:val="006544B4"/>
    <w:rsid w:val="00655908"/>
    <w:rsid w:val="00655E12"/>
    <w:rsid w:val="0065793B"/>
    <w:rsid w:val="00661D75"/>
    <w:rsid w:val="0066255D"/>
    <w:rsid w:val="00662F08"/>
    <w:rsid w:val="00663406"/>
    <w:rsid w:val="00663C4A"/>
    <w:rsid w:val="00664139"/>
    <w:rsid w:val="00666EF8"/>
    <w:rsid w:val="00667D6C"/>
    <w:rsid w:val="006706FF"/>
    <w:rsid w:val="006734E1"/>
    <w:rsid w:val="006768F6"/>
    <w:rsid w:val="00677ABF"/>
    <w:rsid w:val="006812B5"/>
    <w:rsid w:val="00687020"/>
    <w:rsid w:val="006907D9"/>
    <w:rsid w:val="006948CC"/>
    <w:rsid w:val="006949BF"/>
    <w:rsid w:val="00696285"/>
    <w:rsid w:val="006976B8"/>
    <w:rsid w:val="006A0A08"/>
    <w:rsid w:val="006A0BAB"/>
    <w:rsid w:val="006A23E6"/>
    <w:rsid w:val="006A2BF9"/>
    <w:rsid w:val="006A3346"/>
    <w:rsid w:val="006A7457"/>
    <w:rsid w:val="006B0D14"/>
    <w:rsid w:val="006B7610"/>
    <w:rsid w:val="006C1BFA"/>
    <w:rsid w:val="006C5955"/>
    <w:rsid w:val="006C5F63"/>
    <w:rsid w:val="006C632C"/>
    <w:rsid w:val="006C6892"/>
    <w:rsid w:val="006D1EA5"/>
    <w:rsid w:val="006D39B0"/>
    <w:rsid w:val="006D3E55"/>
    <w:rsid w:val="006D57DB"/>
    <w:rsid w:val="006D5B64"/>
    <w:rsid w:val="006D7C57"/>
    <w:rsid w:val="006E1508"/>
    <w:rsid w:val="006E3AFE"/>
    <w:rsid w:val="006E4DC9"/>
    <w:rsid w:val="006E50FB"/>
    <w:rsid w:val="006F1FD3"/>
    <w:rsid w:val="006F2AB9"/>
    <w:rsid w:val="006F2C17"/>
    <w:rsid w:val="006F32E5"/>
    <w:rsid w:val="006F360C"/>
    <w:rsid w:val="006F6331"/>
    <w:rsid w:val="006F6B54"/>
    <w:rsid w:val="006F7033"/>
    <w:rsid w:val="0070077D"/>
    <w:rsid w:val="00703456"/>
    <w:rsid w:val="00703BFA"/>
    <w:rsid w:val="00705291"/>
    <w:rsid w:val="00706051"/>
    <w:rsid w:val="00707689"/>
    <w:rsid w:val="00710166"/>
    <w:rsid w:val="00712D80"/>
    <w:rsid w:val="00713052"/>
    <w:rsid w:val="00717500"/>
    <w:rsid w:val="007200D3"/>
    <w:rsid w:val="00722127"/>
    <w:rsid w:val="00723431"/>
    <w:rsid w:val="007236A5"/>
    <w:rsid w:val="00725A9A"/>
    <w:rsid w:val="00731B18"/>
    <w:rsid w:val="00731FBA"/>
    <w:rsid w:val="00732A15"/>
    <w:rsid w:val="00732D01"/>
    <w:rsid w:val="00732F3C"/>
    <w:rsid w:val="00734216"/>
    <w:rsid w:val="0073515D"/>
    <w:rsid w:val="00737684"/>
    <w:rsid w:val="00741F5A"/>
    <w:rsid w:val="00742879"/>
    <w:rsid w:val="00742DE1"/>
    <w:rsid w:val="00744F63"/>
    <w:rsid w:val="007475DB"/>
    <w:rsid w:val="007505CD"/>
    <w:rsid w:val="0075306C"/>
    <w:rsid w:val="0075311A"/>
    <w:rsid w:val="00754629"/>
    <w:rsid w:val="007552A1"/>
    <w:rsid w:val="007552BF"/>
    <w:rsid w:val="00755DAF"/>
    <w:rsid w:val="00757AF1"/>
    <w:rsid w:val="007604F1"/>
    <w:rsid w:val="00760CE6"/>
    <w:rsid w:val="007625A9"/>
    <w:rsid w:val="007625F7"/>
    <w:rsid w:val="0076469C"/>
    <w:rsid w:val="00766540"/>
    <w:rsid w:val="007668A7"/>
    <w:rsid w:val="00766F29"/>
    <w:rsid w:val="007670FE"/>
    <w:rsid w:val="00767CC5"/>
    <w:rsid w:val="00771B70"/>
    <w:rsid w:val="00771ECD"/>
    <w:rsid w:val="0077322B"/>
    <w:rsid w:val="00780396"/>
    <w:rsid w:val="00780634"/>
    <w:rsid w:val="00781C23"/>
    <w:rsid w:val="00783360"/>
    <w:rsid w:val="00797297"/>
    <w:rsid w:val="007A12C1"/>
    <w:rsid w:val="007A196F"/>
    <w:rsid w:val="007A3EDE"/>
    <w:rsid w:val="007B2C10"/>
    <w:rsid w:val="007B439E"/>
    <w:rsid w:val="007B6BA9"/>
    <w:rsid w:val="007C1EA9"/>
    <w:rsid w:val="007C1F91"/>
    <w:rsid w:val="007C25A7"/>
    <w:rsid w:val="007C2E61"/>
    <w:rsid w:val="007C51E0"/>
    <w:rsid w:val="007C5BE3"/>
    <w:rsid w:val="007D243B"/>
    <w:rsid w:val="007D6211"/>
    <w:rsid w:val="007D7C1B"/>
    <w:rsid w:val="007E16B0"/>
    <w:rsid w:val="007F4159"/>
    <w:rsid w:val="007F43EB"/>
    <w:rsid w:val="007F4EEC"/>
    <w:rsid w:val="007F69DC"/>
    <w:rsid w:val="007F6EBD"/>
    <w:rsid w:val="0080127B"/>
    <w:rsid w:val="00801C57"/>
    <w:rsid w:val="00804543"/>
    <w:rsid w:val="00806098"/>
    <w:rsid w:val="008062FE"/>
    <w:rsid w:val="0081224A"/>
    <w:rsid w:val="008140BF"/>
    <w:rsid w:val="00815638"/>
    <w:rsid w:val="008161F7"/>
    <w:rsid w:val="00816D46"/>
    <w:rsid w:val="008173FD"/>
    <w:rsid w:val="008209EE"/>
    <w:rsid w:val="00820F25"/>
    <w:rsid w:val="0082303F"/>
    <w:rsid w:val="00825D11"/>
    <w:rsid w:val="008262A5"/>
    <w:rsid w:val="0082671E"/>
    <w:rsid w:val="008278FC"/>
    <w:rsid w:val="00830717"/>
    <w:rsid w:val="008308A4"/>
    <w:rsid w:val="00831159"/>
    <w:rsid w:val="008338BF"/>
    <w:rsid w:val="00835171"/>
    <w:rsid w:val="008357F1"/>
    <w:rsid w:val="00836399"/>
    <w:rsid w:val="00842B9E"/>
    <w:rsid w:val="00845BA9"/>
    <w:rsid w:val="00852693"/>
    <w:rsid w:val="00853361"/>
    <w:rsid w:val="0085397F"/>
    <w:rsid w:val="00854F50"/>
    <w:rsid w:val="00855589"/>
    <w:rsid w:val="00855CFC"/>
    <w:rsid w:val="008570F8"/>
    <w:rsid w:val="00861299"/>
    <w:rsid w:val="008648D7"/>
    <w:rsid w:val="00867469"/>
    <w:rsid w:val="00870F2F"/>
    <w:rsid w:val="008761B5"/>
    <w:rsid w:val="00876CFE"/>
    <w:rsid w:val="00877C30"/>
    <w:rsid w:val="00881A7D"/>
    <w:rsid w:val="00881E0C"/>
    <w:rsid w:val="00885D49"/>
    <w:rsid w:val="00885EB3"/>
    <w:rsid w:val="00891188"/>
    <w:rsid w:val="008942CB"/>
    <w:rsid w:val="008953D2"/>
    <w:rsid w:val="008967CB"/>
    <w:rsid w:val="00897553"/>
    <w:rsid w:val="008A1E7A"/>
    <w:rsid w:val="008A1E92"/>
    <w:rsid w:val="008A2011"/>
    <w:rsid w:val="008A4144"/>
    <w:rsid w:val="008A538C"/>
    <w:rsid w:val="008A723C"/>
    <w:rsid w:val="008B0FB0"/>
    <w:rsid w:val="008B2F02"/>
    <w:rsid w:val="008B47A5"/>
    <w:rsid w:val="008B499B"/>
    <w:rsid w:val="008B54B2"/>
    <w:rsid w:val="008B5551"/>
    <w:rsid w:val="008C0466"/>
    <w:rsid w:val="008C15F0"/>
    <w:rsid w:val="008C34BC"/>
    <w:rsid w:val="008C4643"/>
    <w:rsid w:val="008C5437"/>
    <w:rsid w:val="008C6C2C"/>
    <w:rsid w:val="008D1659"/>
    <w:rsid w:val="008D226D"/>
    <w:rsid w:val="008D3C30"/>
    <w:rsid w:val="008D4293"/>
    <w:rsid w:val="008D5AB3"/>
    <w:rsid w:val="008D5CBA"/>
    <w:rsid w:val="008E119F"/>
    <w:rsid w:val="008E28C8"/>
    <w:rsid w:val="008E37B2"/>
    <w:rsid w:val="008E5605"/>
    <w:rsid w:val="008E5979"/>
    <w:rsid w:val="008E68C8"/>
    <w:rsid w:val="008F4A1C"/>
    <w:rsid w:val="008F623D"/>
    <w:rsid w:val="00900B1D"/>
    <w:rsid w:val="00902C3D"/>
    <w:rsid w:val="00902E01"/>
    <w:rsid w:val="00911085"/>
    <w:rsid w:val="0091172B"/>
    <w:rsid w:val="009137F4"/>
    <w:rsid w:val="00921D5D"/>
    <w:rsid w:val="00923902"/>
    <w:rsid w:val="0092499F"/>
    <w:rsid w:val="00924D67"/>
    <w:rsid w:val="00925DA8"/>
    <w:rsid w:val="00926E82"/>
    <w:rsid w:val="00927F72"/>
    <w:rsid w:val="009358FD"/>
    <w:rsid w:val="00937505"/>
    <w:rsid w:val="00937761"/>
    <w:rsid w:val="00937C52"/>
    <w:rsid w:val="00940248"/>
    <w:rsid w:val="009432C0"/>
    <w:rsid w:val="0094564C"/>
    <w:rsid w:val="00946985"/>
    <w:rsid w:val="00954615"/>
    <w:rsid w:val="009554C4"/>
    <w:rsid w:val="00955ADD"/>
    <w:rsid w:val="00956230"/>
    <w:rsid w:val="00957860"/>
    <w:rsid w:val="00962804"/>
    <w:rsid w:val="00963F1A"/>
    <w:rsid w:val="00964043"/>
    <w:rsid w:val="00964EA0"/>
    <w:rsid w:val="00965C4E"/>
    <w:rsid w:val="009669AE"/>
    <w:rsid w:val="009708FE"/>
    <w:rsid w:val="00972085"/>
    <w:rsid w:val="00974752"/>
    <w:rsid w:val="00981D62"/>
    <w:rsid w:val="009869F9"/>
    <w:rsid w:val="009909ED"/>
    <w:rsid w:val="00991106"/>
    <w:rsid w:val="009928E6"/>
    <w:rsid w:val="00993520"/>
    <w:rsid w:val="00994F6E"/>
    <w:rsid w:val="00995B12"/>
    <w:rsid w:val="0099749F"/>
    <w:rsid w:val="009A4269"/>
    <w:rsid w:val="009A487A"/>
    <w:rsid w:val="009B0387"/>
    <w:rsid w:val="009B0843"/>
    <w:rsid w:val="009B1D86"/>
    <w:rsid w:val="009B3110"/>
    <w:rsid w:val="009B375A"/>
    <w:rsid w:val="009B3820"/>
    <w:rsid w:val="009B4D0E"/>
    <w:rsid w:val="009B638F"/>
    <w:rsid w:val="009C0C50"/>
    <w:rsid w:val="009C1C31"/>
    <w:rsid w:val="009C2268"/>
    <w:rsid w:val="009C373D"/>
    <w:rsid w:val="009C4B97"/>
    <w:rsid w:val="009D0488"/>
    <w:rsid w:val="009D06D1"/>
    <w:rsid w:val="009D1069"/>
    <w:rsid w:val="009D1B17"/>
    <w:rsid w:val="009D5C53"/>
    <w:rsid w:val="009E2909"/>
    <w:rsid w:val="009E403F"/>
    <w:rsid w:val="009E59A3"/>
    <w:rsid w:val="009E5F48"/>
    <w:rsid w:val="009E7787"/>
    <w:rsid w:val="009F4051"/>
    <w:rsid w:val="009F41CA"/>
    <w:rsid w:val="009F4642"/>
    <w:rsid w:val="009F7F2C"/>
    <w:rsid w:val="00A00C9C"/>
    <w:rsid w:val="00A01D9B"/>
    <w:rsid w:val="00A06370"/>
    <w:rsid w:val="00A0789D"/>
    <w:rsid w:val="00A162D6"/>
    <w:rsid w:val="00A16C33"/>
    <w:rsid w:val="00A202EA"/>
    <w:rsid w:val="00A2160C"/>
    <w:rsid w:val="00A2202B"/>
    <w:rsid w:val="00A247B1"/>
    <w:rsid w:val="00A275F5"/>
    <w:rsid w:val="00A3201A"/>
    <w:rsid w:val="00A323AA"/>
    <w:rsid w:val="00A3241E"/>
    <w:rsid w:val="00A33A3A"/>
    <w:rsid w:val="00A34712"/>
    <w:rsid w:val="00A3514D"/>
    <w:rsid w:val="00A37E9E"/>
    <w:rsid w:val="00A420B8"/>
    <w:rsid w:val="00A42F85"/>
    <w:rsid w:val="00A432B5"/>
    <w:rsid w:val="00A43E80"/>
    <w:rsid w:val="00A508DC"/>
    <w:rsid w:val="00A53049"/>
    <w:rsid w:val="00A53678"/>
    <w:rsid w:val="00A53AF7"/>
    <w:rsid w:val="00A54572"/>
    <w:rsid w:val="00A6058E"/>
    <w:rsid w:val="00A606F5"/>
    <w:rsid w:val="00A617BC"/>
    <w:rsid w:val="00A67758"/>
    <w:rsid w:val="00A67766"/>
    <w:rsid w:val="00A75094"/>
    <w:rsid w:val="00A75F6F"/>
    <w:rsid w:val="00A76207"/>
    <w:rsid w:val="00A80BEC"/>
    <w:rsid w:val="00A819ED"/>
    <w:rsid w:val="00A81E26"/>
    <w:rsid w:val="00A83B72"/>
    <w:rsid w:val="00A8520C"/>
    <w:rsid w:val="00A87CF3"/>
    <w:rsid w:val="00A87EF6"/>
    <w:rsid w:val="00A90B64"/>
    <w:rsid w:val="00A92AFF"/>
    <w:rsid w:val="00A95619"/>
    <w:rsid w:val="00A9639F"/>
    <w:rsid w:val="00A965C4"/>
    <w:rsid w:val="00A96EA8"/>
    <w:rsid w:val="00A97DD9"/>
    <w:rsid w:val="00AA194B"/>
    <w:rsid w:val="00AA3148"/>
    <w:rsid w:val="00AB0B1B"/>
    <w:rsid w:val="00AB1A9D"/>
    <w:rsid w:val="00AB2200"/>
    <w:rsid w:val="00AB7E41"/>
    <w:rsid w:val="00AC0AD6"/>
    <w:rsid w:val="00AC12C6"/>
    <w:rsid w:val="00AC4671"/>
    <w:rsid w:val="00AC5846"/>
    <w:rsid w:val="00AC6863"/>
    <w:rsid w:val="00AC74BF"/>
    <w:rsid w:val="00AD07A7"/>
    <w:rsid w:val="00AD0B69"/>
    <w:rsid w:val="00AD1340"/>
    <w:rsid w:val="00AD148E"/>
    <w:rsid w:val="00AD1B18"/>
    <w:rsid w:val="00AD3167"/>
    <w:rsid w:val="00AD4568"/>
    <w:rsid w:val="00AD605E"/>
    <w:rsid w:val="00AD6B28"/>
    <w:rsid w:val="00AD7AC4"/>
    <w:rsid w:val="00AE0267"/>
    <w:rsid w:val="00AE047B"/>
    <w:rsid w:val="00AE151D"/>
    <w:rsid w:val="00AE23FC"/>
    <w:rsid w:val="00AE280A"/>
    <w:rsid w:val="00AE31D0"/>
    <w:rsid w:val="00AE5C40"/>
    <w:rsid w:val="00AE61F3"/>
    <w:rsid w:val="00AE66C3"/>
    <w:rsid w:val="00AE7C4B"/>
    <w:rsid w:val="00AF4404"/>
    <w:rsid w:val="00AF542A"/>
    <w:rsid w:val="00B01460"/>
    <w:rsid w:val="00B01773"/>
    <w:rsid w:val="00B01EE5"/>
    <w:rsid w:val="00B053B4"/>
    <w:rsid w:val="00B0586D"/>
    <w:rsid w:val="00B065FC"/>
    <w:rsid w:val="00B06DE2"/>
    <w:rsid w:val="00B11812"/>
    <w:rsid w:val="00B15A93"/>
    <w:rsid w:val="00B15E3A"/>
    <w:rsid w:val="00B16CA1"/>
    <w:rsid w:val="00B20CCF"/>
    <w:rsid w:val="00B2268F"/>
    <w:rsid w:val="00B26E83"/>
    <w:rsid w:val="00B3156F"/>
    <w:rsid w:val="00B3327E"/>
    <w:rsid w:val="00B34E93"/>
    <w:rsid w:val="00B41191"/>
    <w:rsid w:val="00B41D45"/>
    <w:rsid w:val="00B42DB2"/>
    <w:rsid w:val="00B43325"/>
    <w:rsid w:val="00B44D6C"/>
    <w:rsid w:val="00B45498"/>
    <w:rsid w:val="00B46D8E"/>
    <w:rsid w:val="00B47ABA"/>
    <w:rsid w:val="00B51B1F"/>
    <w:rsid w:val="00B5221B"/>
    <w:rsid w:val="00B546CF"/>
    <w:rsid w:val="00B556A1"/>
    <w:rsid w:val="00B567BE"/>
    <w:rsid w:val="00B576AA"/>
    <w:rsid w:val="00B57AEB"/>
    <w:rsid w:val="00B604A7"/>
    <w:rsid w:val="00B60AC7"/>
    <w:rsid w:val="00B62044"/>
    <w:rsid w:val="00B65C12"/>
    <w:rsid w:val="00B660D6"/>
    <w:rsid w:val="00B66650"/>
    <w:rsid w:val="00B67737"/>
    <w:rsid w:val="00B7656D"/>
    <w:rsid w:val="00B7680F"/>
    <w:rsid w:val="00B80502"/>
    <w:rsid w:val="00B80567"/>
    <w:rsid w:val="00B81070"/>
    <w:rsid w:val="00B81095"/>
    <w:rsid w:val="00B823EB"/>
    <w:rsid w:val="00B875EE"/>
    <w:rsid w:val="00B925A6"/>
    <w:rsid w:val="00B9401C"/>
    <w:rsid w:val="00BA03EB"/>
    <w:rsid w:val="00BA1309"/>
    <w:rsid w:val="00BA1616"/>
    <w:rsid w:val="00BA2227"/>
    <w:rsid w:val="00BA2C39"/>
    <w:rsid w:val="00BA3924"/>
    <w:rsid w:val="00BA621E"/>
    <w:rsid w:val="00BB2042"/>
    <w:rsid w:val="00BC0BCA"/>
    <w:rsid w:val="00BC42A6"/>
    <w:rsid w:val="00BC608B"/>
    <w:rsid w:val="00BD6811"/>
    <w:rsid w:val="00BE14D7"/>
    <w:rsid w:val="00BE2574"/>
    <w:rsid w:val="00BE328C"/>
    <w:rsid w:val="00BE52B2"/>
    <w:rsid w:val="00BE576A"/>
    <w:rsid w:val="00BE6A70"/>
    <w:rsid w:val="00BE7AB3"/>
    <w:rsid w:val="00BF1FDB"/>
    <w:rsid w:val="00BF2C3C"/>
    <w:rsid w:val="00BF5063"/>
    <w:rsid w:val="00C00640"/>
    <w:rsid w:val="00C00C3C"/>
    <w:rsid w:val="00C029E2"/>
    <w:rsid w:val="00C02B5F"/>
    <w:rsid w:val="00C04AF8"/>
    <w:rsid w:val="00C05083"/>
    <w:rsid w:val="00C052E4"/>
    <w:rsid w:val="00C0635E"/>
    <w:rsid w:val="00C07396"/>
    <w:rsid w:val="00C125E8"/>
    <w:rsid w:val="00C149C5"/>
    <w:rsid w:val="00C1712E"/>
    <w:rsid w:val="00C173CF"/>
    <w:rsid w:val="00C202CE"/>
    <w:rsid w:val="00C20569"/>
    <w:rsid w:val="00C2237E"/>
    <w:rsid w:val="00C23ECB"/>
    <w:rsid w:val="00C24208"/>
    <w:rsid w:val="00C24253"/>
    <w:rsid w:val="00C30910"/>
    <w:rsid w:val="00C32B2A"/>
    <w:rsid w:val="00C336B7"/>
    <w:rsid w:val="00C33947"/>
    <w:rsid w:val="00C34CC0"/>
    <w:rsid w:val="00C42605"/>
    <w:rsid w:val="00C450B5"/>
    <w:rsid w:val="00C47F68"/>
    <w:rsid w:val="00C55868"/>
    <w:rsid w:val="00C606CE"/>
    <w:rsid w:val="00C6134F"/>
    <w:rsid w:val="00C626A9"/>
    <w:rsid w:val="00C62D58"/>
    <w:rsid w:val="00C66521"/>
    <w:rsid w:val="00C72C64"/>
    <w:rsid w:val="00C731B1"/>
    <w:rsid w:val="00C731FB"/>
    <w:rsid w:val="00C75AA9"/>
    <w:rsid w:val="00C75C25"/>
    <w:rsid w:val="00C801A2"/>
    <w:rsid w:val="00C808CC"/>
    <w:rsid w:val="00C812AF"/>
    <w:rsid w:val="00C837DC"/>
    <w:rsid w:val="00C84497"/>
    <w:rsid w:val="00C84685"/>
    <w:rsid w:val="00C909D5"/>
    <w:rsid w:val="00C9207B"/>
    <w:rsid w:val="00C931F1"/>
    <w:rsid w:val="00C933A9"/>
    <w:rsid w:val="00C940A6"/>
    <w:rsid w:val="00C95B83"/>
    <w:rsid w:val="00C961EE"/>
    <w:rsid w:val="00CA0AD7"/>
    <w:rsid w:val="00CA2187"/>
    <w:rsid w:val="00CA2AD0"/>
    <w:rsid w:val="00CA3676"/>
    <w:rsid w:val="00CA7084"/>
    <w:rsid w:val="00CB1844"/>
    <w:rsid w:val="00CB377B"/>
    <w:rsid w:val="00CB509C"/>
    <w:rsid w:val="00CB609F"/>
    <w:rsid w:val="00CC17F6"/>
    <w:rsid w:val="00CC3A15"/>
    <w:rsid w:val="00CC3FC4"/>
    <w:rsid w:val="00CC4C95"/>
    <w:rsid w:val="00CC5E50"/>
    <w:rsid w:val="00CC6D89"/>
    <w:rsid w:val="00CC7477"/>
    <w:rsid w:val="00CD12C7"/>
    <w:rsid w:val="00CD15F2"/>
    <w:rsid w:val="00CD26A3"/>
    <w:rsid w:val="00CD282C"/>
    <w:rsid w:val="00CD6AAC"/>
    <w:rsid w:val="00CE051F"/>
    <w:rsid w:val="00CE0785"/>
    <w:rsid w:val="00CE0AA5"/>
    <w:rsid w:val="00CE3A95"/>
    <w:rsid w:val="00CE3C28"/>
    <w:rsid w:val="00CE5753"/>
    <w:rsid w:val="00CE5810"/>
    <w:rsid w:val="00CE6493"/>
    <w:rsid w:val="00CF081E"/>
    <w:rsid w:val="00CF1385"/>
    <w:rsid w:val="00CF4D5B"/>
    <w:rsid w:val="00CF661A"/>
    <w:rsid w:val="00D01676"/>
    <w:rsid w:val="00D01B4B"/>
    <w:rsid w:val="00D055C3"/>
    <w:rsid w:val="00D06732"/>
    <w:rsid w:val="00D07B21"/>
    <w:rsid w:val="00D07D61"/>
    <w:rsid w:val="00D1306A"/>
    <w:rsid w:val="00D15268"/>
    <w:rsid w:val="00D16856"/>
    <w:rsid w:val="00D22528"/>
    <w:rsid w:val="00D237C9"/>
    <w:rsid w:val="00D24757"/>
    <w:rsid w:val="00D25955"/>
    <w:rsid w:val="00D26259"/>
    <w:rsid w:val="00D30B32"/>
    <w:rsid w:val="00D341A3"/>
    <w:rsid w:val="00D423B3"/>
    <w:rsid w:val="00D4269E"/>
    <w:rsid w:val="00D440CB"/>
    <w:rsid w:val="00D46399"/>
    <w:rsid w:val="00D509C1"/>
    <w:rsid w:val="00D52425"/>
    <w:rsid w:val="00D5267A"/>
    <w:rsid w:val="00D52E59"/>
    <w:rsid w:val="00D54C6F"/>
    <w:rsid w:val="00D57AF7"/>
    <w:rsid w:val="00D61D64"/>
    <w:rsid w:val="00D63378"/>
    <w:rsid w:val="00D66B79"/>
    <w:rsid w:val="00D678D5"/>
    <w:rsid w:val="00D72A61"/>
    <w:rsid w:val="00D82C68"/>
    <w:rsid w:val="00D85ED7"/>
    <w:rsid w:val="00D86F34"/>
    <w:rsid w:val="00D8737C"/>
    <w:rsid w:val="00D873EF"/>
    <w:rsid w:val="00D90066"/>
    <w:rsid w:val="00D906DD"/>
    <w:rsid w:val="00D90DE9"/>
    <w:rsid w:val="00D912FA"/>
    <w:rsid w:val="00D925BC"/>
    <w:rsid w:val="00D92993"/>
    <w:rsid w:val="00D93588"/>
    <w:rsid w:val="00D93D1C"/>
    <w:rsid w:val="00D961D2"/>
    <w:rsid w:val="00D96A64"/>
    <w:rsid w:val="00DA1E8E"/>
    <w:rsid w:val="00DA5169"/>
    <w:rsid w:val="00DA5385"/>
    <w:rsid w:val="00DA7346"/>
    <w:rsid w:val="00DB0475"/>
    <w:rsid w:val="00DB0826"/>
    <w:rsid w:val="00DB4FC3"/>
    <w:rsid w:val="00DB5C48"/>
    <w:rsid w:val="00DB6941"/>
    <w:rsid w:val="00DB7C03"/>
    <w:rsid w:val="00DB7DD0"/>
    <w:rsid w:val="00DC4A93"/>
    <w:rsid w:val="00DC6256"/>
    <w:rsid w:val="00DC6715"/>
    <w:rsid w:val="00DC7501"/>
    <w:rsid w:val="00DD0D45"/>
    <w:rsid w:val="00DD1157"/>
    <w:rsid w:val="00DD1556"/>
    <w:rsid w:val="00DD4180"/>
    <w:rsid w:val="00DD53DB"/>
    <w:rsid w:val="00DD54E0"/>
    <w:rsid w:val="00DD6747"/>
    <w:rsid w:val="00DD6C7F"/>
    <w:rsid w:val="00DE04BC"/>
    <w:rsid w:val="00DE69B0"/>
    <w:rsid w:val="00DE7F5C"/>
    <w:rsid w:val="00DF1420"/>
    <w:rsid w:val="00DF23D5"/>
    <w:rsid w:val="00DF2A9C"/>
    <w:rsid w:val="00DF3C1C"/>
    <w:rsid w:val="00DF6785"/>
    <w:rsid w:val="00DF6C16"/>
    <w:rsid w:val="00E011A5"/>
    <w:rsid w:val="00E03A12"/>
    <w:rsid w:val="00E05493"/>
    <w:rsid w:val="00E11326"/>
    <w:rsid w:val="00E116A6"/>
    <w:rsid w:val="00E1186C"/>
    <w:rsid w:val="00E125AB"/>
    <w:rsid w:val="00E13B65"/>
    <w:rsid w:val="00E20310"/>
    <w:rsid w:val="00E21B24"/>
    <w:rsid w:val="00E21D3F"/>
    <w:rsid w:val="00E24374"/>
    <w:rsid w:val="00E244B6"/>
    <w:rsid w:val="00E276DC"/>
    <w:rsid w:val="00E31348"/>
    <w:rsid w:val="00E32211"/>
    <w:rsid w:val="00E33CD8"/>
    <w:rsid w:val="00E429A3"/>
    <w:rsid w:val="00E52256"/>
    <w:rsid w:val="00E52787"/>
    <w:rsid w:val="00E538D4"/>
    <w:rsid w:val="00E544D9"/>
    <w:rsid w:val="00E546E1"/>
    <w:rsid w:val="00E56695"/>
    <w:rsid w:val="00E57315"/>
    <w:rsid w:val="00E57B95"/>
    <w:rsid w:val="00E60852"/>
    <w:rsid w:val="00E62194"/>
    <w:rsid w:val="00E66BF9"/>
    <w:rsid w:val="00E70BEA"/>
    <w:rsid w:val="00E71B74"/>
    <w:rsid w:val="00E72EB9"/>
    <w:rsid w:val="00E76164"/>
    <w:rsid w:val="00E76D78"/>
    <w:rsid w:val="00E76F7D"/>
    <w:rsid w:val="00E77036"/>
    <w:rsid w:val="00E77900"/>
    <w:rsid w:val="00E82969"/>
    <w:rsid w:val="00E82F19"/>
    <w:rsid w:val="00E84725"/>
    <w:rsid w:val="00E856A3"/>
    <w:rsid w:val="00E87820"/>
    <w:rsid w:val="00E903C5"/>
    <w:rsid w:val="00E90825"/>
    <w:rsid w:val="00E9082C"/>
    <w:rsid w:val="00E9275B"/>
    <w:rsid w:val="00E92EA5"/>
    <w:rsid w:val="00E946DF"/>
    <w:rsid w:val="00E97043"/>
    <w:rsid w:val="00EA387F"/>
    <w:rsid w:val="00EA5FB2"/>
    <w:rsid w:val="00EA7526"/>
    <w:rsid w:val="00EB22BF"/>
    <w:rsid w:val="00EB24A8"/>
    <w:rsid w:val="00EB2F21"/>
    <w:rsid w:val="00EB48F8"/>
    <w:rsid w:val="00EB4AD9"/>
    <w:rsid w:val="00EB4BD4"/>
    <w:rsid w:val="00EC2823"/>
    <w:rsid w:val="00EC4A7D"/>
    <w:rsid w:val="00EC4ECE"/>
    <w:rsid w:val="00EC7BFD"/>
    <w:rsid w:val="00ED6658"/>
    <w:rsid w:val="00ED6DE0"/>
    <w:rsid w:val="00EE01D8"/>
    <w:rsid w:val="00EE0B09"/>
    <w:rsid w:val="00EE1D47"/>
    <w:rsid w:val="00EE2C7C"/>
    <w:rsid w:val="00EE6C11"/>
    <w:rsid w:val="00EF0C32"/>
    <w:rsid w:val="00EF105C"/>
    <w:rsid w:val="00EF2C1D"/>
    <w:rsid w:val="00EF3710"/>
    <w:rsid w:val="00EF39E5"/>
    <w:rsid w:val="00EF4CF3"/>
    <w:rsid w:val="00EF63AB"/>
    <w:rsid w:val="00EF777C"/>
    <w:rsid w:val="00F0047F"/>
    <w:rsid w:val="00F02F5E"/>
    <w:rsid w:val="00F041A4"/>
    <w:rsid w:val="00F0565F"/>
    <w:rsid w:val="00F079E7"/>
    <w:rsid w:val="00F13D2E"/>
    <w:rsid w:val="00F1639C"/>
    <w:rsid w:val="00F166F6"/>
    <w:rsid w:val="00F16BDF"/>
    <w:rsid w:val="00F1778E"/>
    <w:rsid w:val="00F2160F"/>
    <w:rsid w:val="00F246D1"/>
    <w:rsid w:val="00F247E5"/>
    <w:rsid w:val="00F26470"/>
    <w:rsid w:val="00F317E9"/>
    <w:rsid w:val="00F31BF5"/>
    <w:rsid w:val="00F324A6"/>
    <w:rsid w:val="00F3589F"/>
    <w:rsid w:val="00F400C3"/>
    <w:rsid w:val="00F40176"/>
    <w:rsid w:val="00F40531"/>
    <w:rsid w:val="00F40A13"/>
    <w:rsid w:val="00F4171E"/>
    <w:rsid w:val="00F43784"/>
    <w:rsid w:val="00F45BDB"/>
    <w:rsid w:val="00F46DC4"/>
    <w:rsid w:val="00F46E3A"/>
    <w:rsid w:val="00F5066A"/>
    <w:rsid w:val="00F5084B"/>
    <w:rsid w:val="00F52A14"/>
    <w:rsid w:val="00F52D24"/>
    <w:rsid w:val="00F63F16"/>
    <w:rsid w:val="00F657A1"/>
    <w:rsid w:val="00F6605F"/>
    <w:rsid w:val="00F66D3C"/>
    <w:rsid w:val="00F7208B"/>
    <w:rsid w:val="00F7211C"/>
    <w:rsid w:val="00F737AC"/>
    <w:rsid w:val="00F74EB5"/>
    <w:rsid w:val="00F75869"/>
    <w:rsid w:val="00F75E12"/>
    <w:rsid w:val="00F80ECC"/>
    <w:rsid w:val="00F81D2E"/>
    <w:rsid w:val="00F8270C"/>
    <w:rsid w:val="00F83788"/>
    <w:rsid w:val="00F83A84"/>
    <w:rsid w:val="00F8591F"/>
    <w:rsid w:val="00F85EC8"/>
    <w:rsid w:val="00F861AB"/>
    <w:rsid w:val="00F86777"/>
    <w:rsid w:val="00F9172E"/>
    <w:rsid w:val="00F9438C"/>
    <w:rsid w:val="00F9587B"/>
    <w:rsid w:val="00F96531"/>
    <w:rsid w:val="00FA2CA3"/>
    <w:rsid w:val="00FA3A7D"/>
    <w:rsid w:val="00FA6BE4"/>
    <w:rsid w:val="00FB2B79"/>
    <w:rsid w:val="00FB60FC"/>
    <w:rsid w:val="00FB6C0C"/>
    <w:rsid w:val="00FC0175"/>
    <w:rsid w:val="00FC1412"/>
    <w:rsid w:val="00FC3296"/>
    <w:rsid w:val="00FC38FB"/>
    <w:rsid w:val="00FC3CAC"/>
    <w:rsid w:val="00FC4488"/>
    <w:rsid w:val="00FC6551"/>
    <w:rsid w:val="00FC655E"/>
    <w:rsid w:val="00FC6FDC"/>
    <w:rsid w:val="00FC7973"/>
    <w:rsid w:val="00FD5C55"/>
    <w:rsid w:val="00FD79D0"/>
    <w:rsid w:val="00FE571F"/>
    <w:rsid w:val="00FE7752"/>
    <w:rsid w:val="00FF2641"/>
    <w:rsid w:val="00FF33EB"/>
    <w:rsid w:val="00FF466D"/>
    <w:rsid w:val="00FF6C3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C3D2C"/>
    <w:pPr>
      <w:jc w:val="both"/>
    </w:pPr>
    <w:rPr>
      <w:sz w:val="22"/>
      <w:szCs w:val="24"/>
    </w:rPr>
  </w:style>
  <w:style w:type="paragraph" w:styleId="Nadpis1">
    <w:name w:val="heading 1"/>
    <w:basedOn w:val="Normln"/>
    <w:next w:val="Normln"/>
    <w:link w:val="Nadpis1Char"/>
    <w:uiPriority w:val="9"/>
    <w:qFormat/>
    <w:rsid w:val="001E18A8"/>
    <w:pPr>
      <w:keepNext/>
      <w:spacing w:before="4800"/>
      <w:ind w:left="720"/>
      <w:outlineLvl w:val="0"/>
    </w:pPr>
    <w:rPr>
      <w:rFonts w:cs="Arial"/>
      <w:b/>
      <w:bCs/>
      <w:caps/>
      <w:kern w:val="32"/>
      <w:sz w:val="40"/>
      <w:szCs w:val="40"/>
    </w:rPr>
  </w:style>
  <w:style w:type="paragraph" w:styleId="Nadpis2">
    <w:name w:val="heading 2"/>
    <w:basedOn w:val="Nadpis1"/>
    <w:next w:val="Normln"/>
    <w:link w:val="Nadpis2Char"/>
    <w:autoRedefine/>
    <w:uiPriority w:val="9"/>
    <w:qFormat/>
    <w:rsid w:val="00CE6493"/>
    <w:pPr>
      <w:spacing w:before="0" w:after="360"/>
      <w:ind w:left="709" w:hanging="709"/>
      <w:jc w:val="left"/>
      <w:outlineLvl w:val="1"/>
    </w:pPr>
    <w:rPr>
      <w:sz w:val="32"/>
      <w:szCs w:val="32"/>
      <w:lang w:eastAsia="ar-SA"/>
    </w:rPr>
  </w:style>
  <w:style w:type="paragraph" w:styleId="Nadpis3">
    <w:name w:val="heading 3"/>
    <w:aliases w:val="2.1."/>
    <w:basedOn w:val="Podtitul"/>
    <w:next w:val="Normln"/>
    <w:autoRedefine/>
    <w:uiPriority w:val="9"/>
    <w:qFormat/>
    <w:rsid w:val="001F34D8"/>
    <w:pPr>
      <w:numPr>
        <w:numId w:val="46"/>
      </w:numPr>
      <w:ind w:left="567" w:hanging="567"/>
      <w:jc w:val="left"/>
      <w:outlineLvl w:val="2"/>
    </w:pPr>
    <w:rPr>
      <w:rFonts w:cs="Arial"/>
    </w:rPr>
  </w:style>
  <w:style w:type="paragraph" w:styleId="Nadpis4">
    <w:name w:val="heading 4"/>
    <w:basedOn w:val="Normln"/>
    <w:next w:val="Normln"/>
    <w:uiPriority w:val="9"/>
    <w:qFormat/>
    <w:rsid w:val="00742879"/>
    <w:pPr>
      <w:keepNext/>
      <w:autoSpaceDE w:val="0"/>
      <w:autoSpaceDN w:val="0"/>
      <w:adjustRightInd w:val="0"/>
      <w:spacing w:before="360" w:after="240"/>
      <w:jc w:val="left"/>
      <w:outlineLvl w:val="3"/>
    </w:pPr>
    <w:rPr>
      <w:rFonts w:eastAsia="Calibri"/>
      <w:b/>
      <w:bCs/>
      <w:sz w:val="24"/>
    </w:rPr>
  </w:style>
  <w:style w:type="paragraph" w:styleId="Nadpis5">
    <w:name w:val="heading 5"/>
    <w:basedOn w:val="Nadpis4arial12bold"/>
    <w:next w:val="Normln"/>
    <w:link w:val="Nadpis5Char"/>
    <w:uiPriority w:val="9"/>
    <w:qFormat/>
    <w:rsid w:val="009E2909"/>
    <w:pPr>
      <w:numPr>
        <w:ilvl w:val="2"/>
        <w:numId w:val="27"/>
      </w:numPr>
      <w:outlineLvl w:val="4"/>
    </w:pPr>
  </w:style>
  <w:style w:type="paragraph" w:styleId="Nadpis6">
    <w:name w:val="heading 6"/>
    <w:basedOn w:val="Normln"/>
    <w:next w:val="Normln"/>
    <w:link w:val="Nadpis6Char"/>
    <w:uiPriority w:val="9"/>
    <w:qFormat/>
    <w:rsid w:val="00A76207"/>
    <w:pPr>
      <w:keepNext/>
      <w:autoSpaceDE w:val="0"/>
      <w:autoSpaceDN w:val="0"/>
      <w:adjustRightInd w:val="0"/>
      <w:jc w:val="left"/>
      <w:outlineLvl w:val="5"/>
    </w:pPr>
    <w:rPr>
      <w:rFonts w:cs="Arial"/>
      <w:b/>
      <w:bCs/>
      <w:sz w:val="32"/>
      <w:szCs w:val="28"/>
    </w:rPr>
  </w:style>
  <w:style w:type="paragraph" w:styleId="Nadpis7">
    <w:name w:val="heading 7"/>
    <w:basedOn w:val="Normln"/>
    <w:next w:val="Normln"/>
    <w:uiPriority w:val="9"/>
    <w:qFormat/>
    <w:rsid w:val="00A76207"/>
    <w:pPr>
      <w:keepNext/>
      <w:autoSpaceDE w:val="0"/>
      <w:autoSpaceDN w:val="0"/>
      <w:adjustRightInd w:val="0"/>
      <w:jc w:val="left"/>
      <w:outlineLvl w:val="6"/>
    </w:pPr>
    <w:rPr>
      <w:rFonts w:cs="Arial"/>
      <w:sz w:val="28"/>
      <w:szCs w:val="28"/>
    </w:rPr>
  </w:style>
  <w:style w:type="paragraph" w:styleId="Nadpis8">
    <w:name w:val="heading 8"/>
    <w:basedOn w:val="Normln"/>
    <w:next w:val="Normln"/>
    <w:link w:val="Nadpis8Char"/>
    <w:uiPriority w:val="9"/>
    <w:qFormat/>
    <w:rsid w:val="00A76207"/>
    <w:pPr>
      <w:keepNext/>
      <w:autoSpaceDE w:val="0"/>
      <w:autoSpaceDN w:val="0"/>
      <w:adjustRightInd w:val="0"/>
      <w:spacing w:after="120"/>
      <w:outlineLvl w:val="7"/>
    </w:pPr>
    <w:rPr>
      <w:rFonts w:cs="Arial"/>
      <w:b/>
      <w:bCs/>
      <w:sz w:val="28"/>
      <w:szCs w:val="28"/>
    </w:rPr>
  </w:style>
  <w:style w:type="paragraph" w:styleId="Nadpis9">
    <w:name w:val="heading 9"/>
    <w:basedOn w:val="Normln"/>
    <w:next w:val="Normln"/>
    <w:link w:val="Nadpis9Char"/>
    <w:uiPriority w:val="9"/>
    <w:qFormat/>
    <w:rsid w:val="00A76207"/>
    <w:pPr>
      <w:keepNext/>
      <w:jc w:val="center"/>
      <w:outlineLvl w:val="8"/>
    </w:pPr>
    <w:rPr>
      <w:rFonts w:cs="Arial"/>
      <w:b/>
      <w:bCs/>
      <w:cap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E18A8"/>
    <w:rPr>
      <w:rFonts w:cs="Arial"/>
      <w:b/>
      <w:bCs/>
      <w:caps/>
      <w:kern w:val="32"/>
      <w:sz w:val="40"/>
      <w:szCs w:val="40"/>
    </w:rPr>
  </w:style>
  <w:style w:type="character" w:customStyle="1" w:styleId="Nadpis2Char">
    <w:name w:val="Nadpis 2 Char"/>
    <w:basedOn w:val="Standardnpsmoodstavce"/>
    <w:link w:val="Nadpis2"/>
    <w:uiPriority w:val="9"/>
    <w:rsid w:val="00CE6493"/>
    <w:rPr>
      <w:rFonts w:cs="Arial"/>
      <w:b/>
      <w:bCs/>
      <w:caps/>
      <w:kern w:val="32"/>
      <w:sz w:val="32"/>
      <w:szCs w:val="32"/>
      <w:lang w:eastAsia="ar-SA"/>
    </w:rPr>
  </w:style>
  <w:style w:type="character" w:customStyle="1" w:styleId="Nadpis9Char">
    <w:name w:val="Nadpis 9 Char"/>
    <w:basedOn w:val="Standardnpsmoodstavce"/>
    <w:link w:val="Nadpis9"/>
    <w:uiPriority w:val="9"/>
    <w:rsid w:val="00754629"/>
    <w:rPr>
      <w:rFonts w:ascii="Arial" w:hAnsi="Arial" w:cs="Arial"/>
      <w:b/>
      <w:bCs/>
      <w:caps/>
      <w:sz w:val="22"/>
    </w:rPr>
  </w:style>
  <w:style w:type="paragraph" w:styleId="Nzev">
    <w:name w:val="Title"/>
    <w:basedOn w:val="Normln"/>
    <w:link w:val="NzevChar"/>
    <w:uiPriority w:val="10"/>
    <w:qFormat/>
    <w:rsid w:val="00A76207"/>
    <w:pPr>
      <w:spacing w:before="240" w:after="240"/>
      <w:jc w:val="center"/>
      <w:outlineLvl w:val="0"/>
    </w:pPr>
    <w:rPr>
      <w:rFonts w:cs="Arial"/>
      <w:b/>
      <w:bCs/>
      <w:kern w:val="28"/>
      <w:sz w:val="28"/>
      <w:szCs w:val="32"/>
    </w:rPr>
  </w:style>
  <w:style w:type="paragraph" w:customStyle="1" w:styleId="normalnsodrkami">
    <w:name w:val="normalní s odrážkami"/>
    <w:basedOn w:val="Normln"/>
    <w:rsid w:val="00A76207"/>
    <w:pPr>
      <w:tabs>
        <w:tab w:val="num" w:pos="720"/>
      </w:tabs>
      <w:ind w:left="720" w:hanging="360"/>
    </w:pPr>
  </w:style>
  <w:style w:type="paragraph" w:styleId="Zpat">
    <w:name w:val="footer"/>
    <w:basedOn w:val="Normln"/>
    <w:link w:val="ZpatChar"/>
    <w:uiPriority w:val="99"/>
    <w:rsid w:val="00A76207"/>
    <w:pPr>
      <w:tabs>
        <w:tab w:val="center" w:pos="4536"/>
        <w:tab w:val="right" w:pos="9072"/>
      </w:tabs>
    </w:pPr>
  </w:style>
  <w:style w:type="character" w:customStyle="1" w:styleId="ZpatChar">
    <w:name w:val="Zápatí Char"/>
    <w:basedOn w:val="Standardnpsmoodstavce"/>
    <w:link w:val="Zpat"/>
    <w:uiPriority w:val="99"/>
    <w:rsid w:val="006D3E55"/>
    <w:rPr>
      <w:rFonts w:ascii="Arial" w:hAnsi="Arial"/>
      <w:sz w:val="22"/>
      <w:szCs w:val="24"/>
    </w:rPr>
  </w:style>
  <w:style w:type="character" w:styleId="slostrnky">
    <w:name w:val="page number"/>
    <w:basedOn w:val="Standardnpsmoodstavce"/>
    <w:uiPriority w:val="99"/>
    <w:semiHidden/>
    <w:rsid w:val="00A76207"/>
  </w:style>
  <w:style w:type="paragraph" w:styleId="Zkladntext">
    <w:name w:val="Body Text"/>
    <w:basedOn w:val="Normln"/>
    <w:link w:val="ZkladntextChar1"/>
    <w:uiPriority w:val="99"/>
    <w:rsid w:val="00A76207"/>
    <w:pPr>
      <w:autoSpaceDE w:val="0"/>
      <w:autoSpaceDN w:val="0"/>
      <w:adjustRightInd w:val="0"/>
      <w:spacing w:after="120"/>
      <w:ind w:firstLine="709"/>
    </w:pPr>
    <w:rPr>
      <w:rFonts w:cs="Arial"/>
      <w:sz w:val="20"/>
      <w:szCs w:val="20"/>
    </w:rPr>
  </w:style>
  <w:style w:type="paragraph" w:styleId="Zhlav">
    <w:name w:val="header"/>
    <w:basedOn w:val="Normln"/>
    <w:uiPriority w:val="99"/>
    <w:unhideWhenUsed/>
    <w:rsid w:val="00A76207"/>
    <w:pPr>
      <w:tabs>
        <w:tab w:val="center" w:pos="4536"/>
        <w:tab w:val="right" w:pos="9072"/>
      </w:tabs>
    </w:pPr>
  </w:style>
  <w:style w:type="character" w:customStyle="1" w:styleId="ZhlavChar">
    <w:name w:val="Záhlaví Char"/>
    <w:basedOn w:val="Standardnpsmoodstavce"/>
    <w:uiPriority w:val="99"/>
    <w:rsid w:val="00A76207"/>
    <w:rPr>
      <w:rFonts w:ascii="Arial" w:hAnsi="Arial"/>
      <w:sz w:val="22"/>
      <w:szCs w:val="24"/>
    </w:rPr>
  </w:style>
  <w:style w:type="paragraph" w:styleId="Zkladntextodsazen">
    <w:name w:val="Body Text Indent"/>
    <w:basedOn w:val="Normln"/>
    <w:uiPriority w:val="99"/>
    <w:semiHidden/>
    <w:rsid w:val="00A76207"/>
    <w:pPr>
      <w:spacing w:after="240"/>
      <w:ind w:left="720" w:hanging="360"/>
    </w:pPr>
    <w:rPr>
      <w:rFonts w:eastAsia="Calibri" w:cs="Arial"/>
      <w:sz w:val="20"/>
      <w:szCs w:val="22"/>
      <w:lang w:eastAsia="en-US"/>
    </w:rPr>
  </w:style>
  <w:style w:type="character" w:customStyle="1" w:styleId="ZkladntextodsazenChar">
    <w:name w:val="Základní text odsazený Char"/>
    <w:basedOn w:val="Standardnpsmoodstavce"/>
    <w:uiPriority w:val="99"/>
    <w:semiHidden/>
    <w:rsid w:val="00A76207"/>
    <w:rPr>
      <w:rFonts w:eastAsia="Calibri"/>
      <w:sz w:val="22"/>
      <w:szCs w:val="22"/>
      <w:lang w:eastAsia="en-US"/>
    </w:rPr>
  </w:style>
  <w:style w:type="character" w:styleId="Hypertextovodkaz">
    <w:name w:val="Hyperlink"/>
    <w:basedOn w:val="Standardnpsmoodstavce"/>
    <w:uiPriority w:val="99"/>
    <w:rsid w:val="00A76207"/>
    <w:rPr>
      <w:b w:val="0"/>
      <w:bCs w:val="0"/>
      <w:color w:val="000066"/>
      <w:sz w:val="20"/>
      <w:szCs w:val="20"/>
      <w:u w:val="single"/>
    </w:rPr>
  </w:style>
  <w:style w:type="paragraph" w:styleId="Normlnweb">
    <w:name w:val="Normal (Web)"/>
    <w:basedOn w:val="Normln"/>
    <w:uiPriority w:val="99"/>
    <w:semiHidden/>
    <w:rsid w:val="00A76207"/>
    <w:pPr>
      <w:spacing w:before="100" w:beforeAutospacing="1" w:after="100" w:afterAutospacing="1"/>
      <w:jc w:val="left"/>
    </w:pPr>
    <w:rPr>
      <w:rFonts w:cs="Arial"/>
      <w:color w:val="000000"/>
      <w:sz w:val="20"/>
      <w:szCs w:val="20"/>
    </w:rPr>
  </w:style>
  <w:style w:type="paragraph" w:styleId="Zkladntext2">
    <w:name w:val="Body Text 2"/>
    <w:basedOn w:val="Normln"/>
    <w:uiPriority w:val="99"/>
    <w:semiHidden/>
    <w:rsid w:val="00A76207"/>
    <w:pPr>
      <w:autoSpaceDE w:val="0"/>
      <w:autoSpaceDN w:val="0"/>
      <w:adjustRightInd w:val="0"/>
      <w:jc w:val="left"/>
    </w:pPr>
    <w:rPr>
      <w:color w:val="FF0000"/>
    </w:rPr>
  </w:style>
  <w:style w:type="paragraph" w:styleId="Zkladntextodsazen2">
    <w:name w:val="Body Text Indent 2"/>
    <w:basedOn w:val="Normln"/>
    <w:uiPriority w:val="99"/>
    <w:semiHidden/>
    <w:rsid w:val="00A76207"/>
    <w:pPr>
      <w:spacing w:after="240"/>
      <w:ind w:firstLine="709"/>
    </w:pPr>
    <w:rPr>
      <w:rFonts w:cs="Arial"/>
      <w:color w:val="000000"/>
    </w:rPr>
  </w:style>
  <w:style w:type="paragraph" w:styleId="Zkladntextodsazen3">
    <w:name w:val="Body Text Indent 3"/>
    <w:basedOn w:val="Normln"/>
    <w:uiPriority w:val="99"/>
    <w:rsid w:val="00A76207"/>
    <w:pPr>
      <w:spacing w:after="240"/>
      <w:ind w:firstLine="709"/>
    </w:pPr>
    <w:rPr>
      <w:rFonts w:cs="Arial"/>
      <w:b/>
      <w:bCs/>
      <w:color w:val="000080"/>
    </w:rPr>
  </w:style>
  <w:style w:type="paragraph" w:styleId="Zkladntext3">
    <w:name w:val="Body Text 3"/>
    <w:basedOn w:val="Normln"/>
    <w:link w:val="Zkladntext3Char"/>
    <w:uiPriority w:val="99"/>
    <w:semiHidden/>
    <w:rsid w:val="00A76207"/>
    <w:pPr>
      <w:autoSpaceDE w:val="0"/>
      <w:autoSpaceDN w:val="0"/>
      <w:adjustRightInd w:val="0"/>
      <w:jc w:val="left"/>
    </w:pPr>
    <w:rPr>
      <w:b/>
      <w:bCs/>
      <w:color w:val="800000"/>
    </w:rPr>
  </w:style>
  <w:style w:type="paragraph" w:styleId="Textpoznpodarou">
    <w:name w:val="footnote text"/>
    <w:basedOn w:val="Normln"/>
    <w:uiPriority w:val="99"/>
    <w:rsid w:val="00A76207"/>
    <w:rPr>
      <w:i/>
      <w:iCs/>
      <w:sz w:val="18"/>
      <w:szCs w:val="20"/>
    </w:rPr>
  </w:style>
  <w:style w:type="character" w:styleId="Znakapoznpodarou">
    <w:name w:val="footnote reference"/>
    <w:basedOn w:val="Standardnpsmoodstavce"/>
    <w:uiPriority w:val="99"/>
    <w:rsid w:val="00A76207"/>
    <w:rPr>
      <w:vertAlign w:val="superscript"/>
    </w:rPr>
  </w:style>
  <w:style w:type="character" w:customStyle="1" w:styleId="mw-headline">
    <w:name w:val="mw-headline"/>
    <w:basedOn w:val="Standardnpsmoodstavce"/>
    <w:rsid w:val="00A76207"/>
  </w:style>
  <w:style w:type="character" w:customStyle="1" w:styleId="doplnte-zdroj">
    <w:name w:val="doplnte-zdroj"/>
    <w:basedOn w:val="Standardnpsmoodstavce"/>
    <w:rsid w:val="00A76207"/>
  </w:style>
  <w:style w:type="character" w:customStyle="1" w:styleId="Zkladntextodsazen3Char">
    <w:name w:val="Základní text odsazený 3 Char"/>
    <w:basedOn w:val="Standardnpsmoodstavce"/>
    <w:uiPriority w:val="99"/>
    <w:rsid w:val="00A76207"/>
    <w:rPr>
      <w:rFonts w:ascii="Arial" w:hAnsi="Arial" w:cs="Arial"/>
      <w:b/>
      <w:bCs/>
      <w:color w:val="000080"/>
      <w:sz w:val="22"/>
      <w:szCs w:val="24"/>
    </w:rPr>
  </w:style>
  <w:style w:type="character" w:customStyle="1" w:styleId="Zkladntext2Char">
    <w:name w:val="Základní text 2 Char"/>
    <w:basedOn w:val="Standardnpsmoodstavce"/>
    <w:uiPriority w:val="99"/>
    <w:semiHidden/>
    <w:rsid w:val="00A76207"/>
    <w:rPr>
      <w:rFonts w:ascii="Arial" w:hAnsi="Arial"/>
      <w:color w:val="FF0000"/>
      <w:sz w:val="22"/>
      <w:szCs w:val="24"/>
    </w:rPr>
  </w:style>
  <w:style w:type="character" w:customStyle="1" w:styleId="Nadpis7Char">
    <w:name w:val="Nadpis 7 Char"/>
    <w:basedOn w:val="Standardnpsmoodstavce"/>
    <w:uiPriority w:val="9"/>
    <w:rsid w:val="00A76207"/>
    <w:rPr>
      <w:rFonts w:ascii="Arial" w:hAnsi="Arial" w:cs="Arial"/>
      <w:sz w:val="28"/>
      <w:szCs w:val="28"/>
    </w:rPr>
  </w:style>
  <w:style w:type="character" w:styleId="Siln">
    <w:name w:val="Strong"/>
    <w:basedOn w:val="Standardnpsmoodstavce"/>
    <w:uiPriority w:val="22"/>
    <w:qFormat/>
    <w:rsid w:val="00A76207"/>
    <w:rPr>
      <w:b/>
      <w:bCs/>
    </w:rPr>
  </w:style>
  <w:style w:type="character" w:styleId="Zvraznn">
    <w:name w:val="Emphasis"/>
    <w:basedOn w:val="Standardnpsmoodstavce"/>
    <w:uiPriority w:val="20"/>
    <w:qFormat/>
    <w:rsid w:val="00A76207"/>
    <w:rPr>
      <w:i/>
      <w:iCs/>
    </w:rPr>
  </w:style>
  <w:style w:type="character" w:customStyle="1" w:styleId="ZkladntextChar">
    <w:name w:val="Základní text Char"/>
    <w:basedOn w:val="Standardnpsmoodstavce"/>
    <w:uiPriority w:val="99"/>
    <w:rsid w:val="00A76207"/>
    <w:rPr>
      <w:rFonts w:ascii="Arial" w:hAnsi="Arial" w:cs="Arial"/>
    </w:rPr>
  </w:style>
  <w:style w:type="character" w:customStyle="1" w:styleId="Zkladntextodsazen2Char">
    <w:name w:val="Základní text odsazený 2 Char"/>
    <w:basedOn w:val="Standardnpsmoodstavce"/>
    <w:uiPriority w:val="99"/>
    <w:semiHidden/>
    <w:rsid w:val="00A76207"/>
    <w:rPr>
      <w:rFonts w:ascii="Arial" w:hAnsi="Arial" w:cs="Arial"/>
      <w:color w:val="000000"/>
      <w:sz w:val="22"/>
      <w:szCs w:val="24"/>
    </w:rPr>
  </w:style>
  <w:style w:type="character" w:customStyle="1" w:styleId="Nadpis3Char">
    <w:name w:val="Nadpis 3 Char"/>
    <w:aliases w:val="2.1. Char"/>
    <w:basedOn w:val="Standardnpsmoodstavce"/>
    <w:uiPriority w:val="9"/>
    <w:rsid w:val="00A76207"/>
    <w:rPr>
      <w:rFonts w:ascii="Arial" w:hAnsi="Arial" w:cs="Arial"/>
      <w:b/>
      <w:bCs/>
      <w:sz w:val="22"/>
      <w:szCs w:val="26"/>
    </w:rPr>
  </w:style>
  <w:style w:type="character" w:customStyle="1" w:styleId="Nadpis4Char">
    <w:name w:val="Nadpis 4 Char"/>
    <w:basedOn w:val="Standardnpsmoodstavce"/>
    <w:uiPriority w:val="9"/>
    <w:rsid w:val="00A76207"/>
    <w:rPr>
      <w:rFonts w:ascii="TT1FDo00" w:hAnsi="TT1FDo00"/>
      <w:b/>
      <w:bCs/>
      <w:sz w:val="22"/>
      <w:szCs w:val="22"/>
    </w:rPr>
  </w:style>
  <w:style w:type="character" w:customStyle="1" w:styleId="TextpoznpodarouChar">
    <w:name w:val="Text pozn. pod čarou Char"/>
    <w:basedOn w:val="Standardnpsmoodstavce"/>
    <w:uiPriority w:val="99"/>
    <w:rsid w:val="00A76207"/>
    <w:rPr>
      <w:rFonts w:ascii="Arial" w:hAnsi="Arial"/>
    </w:rPr>
  </w:style>
  <w:style w:type="character" w:styleId="Sledovanodkaz">
    <w:name w:val="FollowedHyperlink"/>
    <w:basedOn w:val="Standardnpsmoodstavce"/>
    <w:uiPriority w:val="99"/>
    <w:semiHidden/>
    <w:rsid w:val="00A76207"/>
    <w:rPr>
      <w:color w:val="800080"/>
      <w:u w:val="single"/>
    </w:rPr>
  </w:style>
  <w:style w:type="paragraph" w:styleId="Obsah1">
    <w:name w:val="toc 1"/>
    <w:basedOn w:val="Normln"/>
    <w:next w:val="Normln"/>
    <w:autoRedefine/>
    <w:uiPriority w:val="39"/>
    <w:rsid w:val="00760CE6"/>
    <w:pPr>
      <w:tabs>
        <w:tab w:val="left" w:pos="660"/>
        <w:tab w:val="right" w:leader="dot" w:pos="9628"/>
      </w:tabs>
      <w:spacing w:before="360" w:after="240"/>
      <w:jc w:val="left"/>
    </w:pPr>
    <w:rPr>
      <w:rFonts w:cs="Arial"/>
      <w:b/>
      <w:noProof/>
      <w:sz w:val="24"/>
    </w:rPr>
  </w:style>
  <w:style w:type="paragraph" w:styleId="Obsah2">
    <w:name w:val="toc 2"/>
    <w:basedOn w:val="Normln"/>
    <w:next w:val="Normln"/>
    <w:autoRedefine/>
    <w:uiPriority w:val="39"/>
    <w:rsid w:val="00D01B4B"/>
    <w:pPr>
      <w:tabs>
        <w:tab w:val="right" w:leader="dot" w:pos="9628"/>
      </w:tabs>
      <w:spacing w:before="120"/>
      <w:ind w:left="221"/>
    </w:pPr>
  </w:style>
  <w:style w:type="paragraph" w:styleId="Obsah3">
    <w:name w:val="toc 3"/>
    <w:basedOn w:val="Normln"/>
    <w:next w:val="Normln"/>
    <w:autoRedefine/>
    <w:uiPriority w:val="39"/>
    <w:rsid w:val="00A76207"/>
    <w:pPr>
      <w:ind w:left="440"/>
    </w:pPr>
  </w:style>
  <w:style w:type="paragraph" w:styleId="Obsah4">
    <w:name w:val="toc 4"/>
    <w:basedOn w:val="Normln"/>
    <w:next w:val="Normln"/>
    <w:autoRedefine/>
    <w:uiPriority w:val="39"/>
    <w:semiHidden/>
    <w:rsid w:val="00A76207"/>
    <w:pPr>
      <w:ind w:left="660"/>
    </w:pPr>
  </w:style>
  <w:style w:type="paragraph" w:styleId="Obsah5">
    <w:name w:val="toc 5"/>
    <w:basedOn w:val="Normln"/>
    <w:next w:val="Normln"/>
    <w:autoRedefine/>
    <w:uiPriority w:val="39"/>
    <w:semiHidden/>
    <w:rsid w:val="00A76207"/>
    <w:pPr>
      <w:ind w:left="880"/>
    </w:pPr>
  </w:style>
  <w:style w:type="paragraph" w:styleId="Obsah6">
    <w:name w:val="toc 6"/>
    <w:basedOn w:val="Normln"/>
    <w:next w:val="Normln"/>
    <w:autoRedefine/>
    <w:uiPriority w:val="39"/>
    <w:semiHidden/>
    <w:rsid w:val="00A76207"/>
    <w:pPr>
      <w:ind w:left="1100"/>
    </w:pPr>
  </w:style>
  <w:style w:type="paragraph" w:styleId="Obsah7">
    <w:name w:val="toc 7"/>
    <w:basedOn w:val="Normln"/>
    <w:next w:val="Normln"/>
    <w:autoRedefine/>
    <w:uiPriority w:val="39"/>
    <w:semiHidden/>
    <w:rsid w:val="00A76207"/>
    <w:pPr>
      <w:ind w:left="1320"/>
    </w:pPr>
  </w:style>
  <w:style w:type="paragraph" w:styleId="Obsah8">
    <w:name w:val="toc 8"/>
    <w:basedOn w:val="Normln"/>
    <w:next w:val="Normln"/>
    <w:autoRedefine/>
    <w:uiPriority w:val="39"/>
    <w:semiHidden/>
    <w:rsid w:val="00A76207"/>
    <w:pPr>
      <w:ind w:left="1540"/>
    </w:pPr>
  </w:style>
  <w:style w:type="paragraph" w:styleId="Obsah9">
    <w:name w:val="toc 9"/>
    <w:basedOn w:val="Normln"/>
    <w:next w:val="Normln"/>
    <w:autoRedefine/>
    <w:uiPriority w:val="39"/>
    <w:semiHidden/>
    <w:rsid w:val="00A76207"/>
    <w:pPr>
      <w:ind w:left="1760"/>
    </w:pPr>
  </w:style>
  <w:style w:type="paragraph" w:customStyle="1" w:styleId="Default">
    <w:name w:val="Default"/>
    <w:rsid w:val="00A76207"/>
    <w:pPr>
      <w:autoSpaceDE w:val="0"/>
      <w:autoSpaceDN w:val="0"/>
      <w:adjustRightInd w:val="0"/>
    </w:pPr>
    <w:rPr>
      <w:rFonts w:ascii="Calibri" w:hAnsi="Calibri"/>
      <w:color w:val="000000"/>
      <w:sz w:val="24"/>
      <w:szCs w:val="24"/>
    </w:rPr>
  </w:style>
  <w:style w:type="character" w:customStyle="1" w:styleId="st">
    <w:name w:val="st"/>
    <w:basedOn w:val="Standardnpsmoodstavce"/>
    <w:rsid w:val="00A76207"/>
    <w:rPr>
      <w:rFonts w:ascii="Times New Roman" w:hAnsi="Times New Roman" w:cs="Times New Roman"/>
    </w:rPr>
  </w:style>
  <w:style w:type="paragraph" w:styleId="Nadpisobsahu">
    <w:name w:val="TOC Heading"/>
    <w:basedOn w:val="Nadpis1"/>
    <w:next w:val="Normln"/>
    <w:uiPriority w:val="39"/>
    <w:unhideWhenUsed/>
    <w:qFormat/>
    <w:rsid w:val="00103B54"/>
    <w:pPr>
      <w:keepLines/>
      <w:spacing w:before="480" w:line="276" w:lineRule="auto"/>
      <w:outlineLvl w:val="9"/>
    </w:pPr>
    <w:rPr>
      <w:rFonts w:ascii="Cambria" w:hAnsi="Cambria" w:cs="Times New Roman"/>
      <w:caps w:val="0"/>
      <w:color w:val="365F91"/>
      <w:kern w:val="0"/>
      <w:sz w:val="28"/>
      <w:lang w:eastAsia="en-US"/>
    </w:rPr>
  </w:style>
  <w:style w:type="paragraph" w:styleId="Textvysvtlivek">
    <w:name w:val="endnote text"/>
    <w:basedOn w:val="Normln"/>
    <w:link w:val="TextvysvtlivekChar"/>
    <w:uiPriority w:val="99"/>
    <w:semiHidden/>
    <w:unhideWhenUsed/>
    <w:rsid w:val="0029106B"/>
    <w:rPr>
      <w:sz w:val="20"/>
      <w:szCs w:val="20"/>
    </w:rPr>
  </w:style>
  <w:style w:type="character" w:customStyle="1" w:styleId="TextvysvtlivekChar">
    <w:name w:val="Text vysvětlivek Char"/>
    <w:basedOn w:val="Standardnpsmoodstavce"/>
    <w:link w:val="Textvysvtlivek"/>
    <w:uiPriority w:val="99"/>
    <w:semiHidden/>
    <w:rsid w:val="0029106B"/>
    <w:rPr>
      <w:rFonts w:ascii="Arial" w:hAnsi="Arial"/>
    </w:rPr>
  </w:style>
  <w:style w:type="character" w:styleId="Odkaznavysvtlivky">
    <w:name w:val="endnote reference"/>
    <w:basedOn w:val="Standardnpsmoodstavce"/>
    <w:uiPriority w:val="99"/>
    <w:semiHidden/>
    <w:unhideWhenUsed/>
    <w:rsid w:val="0029106B"/>
    <w:rPr>
      <w:vertAlign w:val="superscript"/>
    </w:rPr>
  </w:style>
  <w:style w:type="paragraph" w:customStyle="1" w:styleId="Nadpis4arial12bold">
    <w:name w:val="Nadpis 4 arial 12 bold"/>
    <w:basedOn w:val="Nadpis4"/>
    <w:link w:val="Nadpis4arial12boldChar"/>
    <w:qFormat/>
    <w:rsid w:val="00F8591F"/>
  </w:style>
  <w:style w:type="character" w:customStyle="1" w:styleId="Nadpis4arial12boldChar">
    <w:name w:val="Nadpis 4 arial 12 bold Char"/>
    <w:basedOn w:val="Standardnpsmoodstavce"/>
    <w:link w:val="Nadpis4arial12bold"/>
    <w:rsid w:val="00F8591F"/>
    <w:rPr>
      <w:rFonts w:eastAsia="Calibri"/>
      <w:b/>
      <w:bCs/>
      <w:sz w:val="24"/>
      <w:szCs w:val="24"/>
    </w:rPr>
  </w:style>
  <w:style w:type="character" w:customStyle="1" w:styleId="ata11y">
    <w:name w:val="at_a11y"/>
    <w:basedOn w:val="Standardnpsmoodstavce"/>
    <w:rsid w:val="006D3E55"/>
  </w:style>
  <w:style w:type="paragraph" w:styleId="Odstavecseseznamem">
    <w:name w:val="List Paragraph"/>
    <w:basedOn w:val="Normln"/>
    <w:link w:val="OdstavecseseznamemChar"/>
    <w:uiPriority w:val="34"/>
    <w:qFormat/>
    <w:rsid w:val="006D3E55"/>
    <w:pPr>
      <w:spacing w:after="240"/>
      <w:ind w:left="720"/>
      <w:contextualSpacing/>
      <w:jc w:val="left"/>
    </w:pPr>
    <w:rPr>
      <w:rFonts w:eastAsia="Calibri" w:cs="Arial"/>
      <w:b/>
      <w:sz w:val="28"/>
      <w:szCs w:val="28"/>
      <w:lang w:eastAsia="en-US"/>
    </w:rPr>
  </w:style>
  <w:style w:type="paragraph" w:customStyle="1" w:styleId="para">
    <w:name w:val="para"/>
    <w:basedOn w:val="Normln"/>
    <w:rsid w:val="006D3E55"/>
    <w:pPr>
      <w:spacing w:before="100" w:beforeAutospacing="1" w:after="100" w:afterAutospacing="1"/>
      <w:jc w:val="left"/>
    </w:pPr>
    <w:rPr>
      <w:rFonts w:ascii="Times New Roman" w:hAnsi="Times New Roman"/>
      <w:sz w:val="24"/>
    </w:rPr>
  </w:style>
  <w:style w:type="paragraph" w:customStyle="1" w:styleId="go">
    <w:name w:val="go"/>
    <w:basedOn w:val="Normln"/>
    <w:rsid w:val="006D3E55"/>
    <w:pPr>
      <w:spacing w:before="100" w:beforeAutospacing="1" w:after="100" w:afterAutospacing="1"/>
      <w:jc w:val="left"/>
    </w:pPr>
    <w:rPr>
      <w:rFonts w:ascii="Times New Roman" w:hAnsi="Times New Roman"/>
      <w:sz w:val="24"/>
    </w:rPr>
  </w:style>
  <w:style w:type="character" w:customStyle="1" w:styleId="h1a">
    <w:name w:val="h1a"/>
    <w:basedOn w:val="Standardnpsmoodstavce"/>
    <w:rsid w:val="006D3E55"/>
  </w:style>
  <w:style w:type="paragraph" w:customStyle="1" w:styleId="Style8">
    <w:name w:val="Style8"/>
    <w:basedOn w:val="Normln"/>
    <w:rsid w:val="006D3E55"/>
    <w:pPr>
      <w:widowControl w:val="0"/>
      <w:autoSpaceDE w:val="0"/>
      <w:autoSpaceDN w:val="0"/>
      <w:adjustRightInd w:val="0"/>
      <w:jc w:val="left"/>
    </w:pPr>
    <w:rPr>
      <w:rFonts w:cs="Arial"/>
      <w:sz w:val="24"/>
    </w:rPr>
  </w:style>
  <w:style w:type="character" w:customStyle="1" w:styleId="FontStyle19">
    <w:name w:val="Font Style19"/>
    <w:basedOn w:val="Standardnpsmoodstavce"/>
    <w:rsid w:val="006D3E55"/>
    <w:rPr>
      <w:rFonts w:ascii="Arial Narrow" w:hAnsi="Arial Narrow" w:cs="Arial Narrow" w:hint="default"/>
      <w:color w:val="000000"/>
      <w:sz w:val="18"/>
      <w:szCs w:val="18"/>
    </w:rPr>
  </w:style>
  <w:style w:type="character" w:customStyle="1" w:styleId="FontStyle18">
    <w:name w:val="Font Style18"/>
    <w:basedOn w:val="Standardnpsmoodstavce"/>
    <w:rsid w:val="006D3E55"/>
    <w:rPr>
      <w:rFonts w:ascii="Arial Narrow" w:hAnsi="Arial Narrow" w:cs="Arial Narrow" w:hint="default"/>
      <w:b/>
      <w:bCs/>
      <w:color w:val="000000"/>
      <w:sz w:val="18"/>
      <w:szCs w:val="18"/>
    </w:rPr>
  </w:style>
  <w:style w:type="paragraph" w:customStyle="1" w:styleId="Style10">
    <w:name w:val="Style10"/>
    <w:basedOn w:val="Normln"/>
    <w:rsid w:val="006D3E55"/>
    <w:pPr>
      <w:widowControl w:val="0"/>
      <w:autoSpaceDE w:val="0"/>
      <w:autoSpaceDN w:val="0"/>
      <w:adjustRightInd w:val="0"/>
      <w:spacing w:line="220" w:lineRule="exact"/>
    </w:pPr>
    <w:rPr>
      <w:rFonts w:cs="Arial"/>
      <w:sz w:val="24"/>
    </w:rPr>
  </w:style>
  <w:style w:type="paragraph" w:customStyle="1" w:styleId="GroupWiseView">
    <w:name w:val="GroupWiseView"/>
    <w:rsid w:val="00096A9F"/>
    <w:pPr>
      <w:widowControl w:val="0"/>
      <w:autoSpaceDE w:val="0"/>
      <w:autoSpaceDN w:val="0"/>
      <w:adjustRightInd w:val="0"/>
    </w:pPr>
    <w:rPr>
      <w:rFonts w:ascii="Tahoma" w:hAnsi="Tahoma" w:cs="Tahoma"/>
      <w:sz w:val="16"/>
      <w:szCs w:val="16"/>
    </w:rPr>
  </w:style>
  <w:style w:type="paragraph" w:styleId="Textbubliny">
    <w:name w:val="Balloon Text"/>
    <w:basedOn w:val="Normln"/>
    <w:link w:val="TextbublinyChar"/>
    <w:uiPriority w:val="99"/>
    <w:unhideWhenUsed/>
    <w:rsid w:val="00096A9F"/>
    <w:pPr>
      <w:jc w:val="left"/>
    </w:pPr>
    <w:rPr>
      <w:rFonts w:ascii="Tahoma" w:eastAsia="Calibri" w:hAnsi="Tahoma" w:cs="Tahoma"/>
      <w:sz w:val="16"/>
      <w:szCs w:val="16"/>
      <w:lang w:eastAsia="en-US"/>
    </w:rPr>
  </w:style>
  <w:style w:type="character" w:customStyle="1" w:styleId="TextbublinyChar">
    <w:name w:val="Text bubliny Char"/>
    <w:basedOn w:val="Standardnpsmoodstavce"/>
    <w:link w:val="Textbubliny"/>
    <w:uiPriority w:val="99"/>
    <w:rsid w:val="00096A9F"/>
    <w:rPr>
      <w:rFonts w:ascii="Tahoma" w:eastAsia="Calibri" w:hAnsi="Tahoma" w:cs="Tahoma"/>
      <w:sz w:val="16"/>
      <w:szCs w:val="16"/>
      <w:lang w:eastAsia="en-US"/>
    </w:rPr>
  </w:style>
  <w:style w:type="table" w:styleId="Mkatabulky">
    <w:name w:val="Table Grid"/>
    <w:basedOn w:val="Normlntabulka"/>
    <w:uiPriority w:val="59"/>
    <w:rsid w:val="00096A9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1name">
    <w:name w:val="p1name"/>
    <w:basedOn w:val="Standardnpsmoodstavce"/>
    <w:rsid w:val="00096A9F"/>
  </w:style>
  <w:style w:type="character" w:customStyle="1" w:styleId="pnname">
    <w:name w:val="pnname"/>
    <w:basedOn w:val="Standardnpsmoodstavce"/>
    <w:rsid w:val="00096A9F"/>
  </w:style>
  <w:style w:type="character" w:styleId="Odkaznakoment">
    <w:name w:val="annotation reference"/>
    <w:basedOn w:val="Standardnpsmoodstavce"/>
    <w:uiPriority w:val="99"/>
    <w:unhideWhenUsed/>
    <w:rsid w:val="00096A9F"/>
    <w:rPr>
      <w:sz w:val="16"/>
      <w:szCs w:val="16"/>
    </w:rPr>
  </w:style>
  <w:style w:type="paragraph" w:styleId="Textkomente">
    <w:name w:val="annotation text"/>
    <w:basedOn w:val="Normln"/>
    <w:link w:val="TextkomenteChar"/>
    <w:uiPriority w:val="99"/>
    <w:unhideWhenUsed/>
    <w:rsid w:val="00096A9F"/>
    <w:pPr>
      <w:spacing w:after="200"/>
      <w:jc w:val="left"/>
    </w:pPr>
    <w:rPr>
      <w:rFonts w:ascii="Calibri" w:eastAsia="Calibri" w:hAnsi="Calibri"/>
      <w:sz w:val="20"/>
      <w:szCs w:val="20"/>
      <w:lang w:eastAsia="en-US"/>
    </w:rPr>
  </w:style>
  <w:style w:type="character" w:customStyle="1" w:styleId="TextkomenteChar">
    <w:name w:val="Text komentáře Char"/>
    <w:basedOn w:val="Standardnpsmoodstavce"/>
    <w:link w:val="Textkomente"/>
    <w:uiPriority w:val="99"/>
    <w:rsid w:val="00096A9F"/>
    <w:rPr>
      <w:rFonts w:ascii="Calibri" w:eastAsia="Calibri" w:hAnsi="Calibri"/>
      <w:lang w:eastAsia="en-US"/>
    </w:rPr>
  </w:style>
  <w:style w:type="paragraph" w:styleId="Pedmtkomente">
    <w:name w:val="annotation subject"/>
    <w:basedOn w:val="Textkomente"/>
    <w:next w:val="Textkomente"/>
    <w:link w:val="PedmtkomenteChar"/>
    <w:uiPriority w:val="99"/>
    <w:unhideWhenUsed/>
    <w:rsid w:val="00096A9F"/>
    <w:rPr>
      <w:b/>
      <w:bCs/>
    </w:rPr>
  </w:style>
  <w:style w:type="character" w:customStyle="1" w:styleId="PedmtkomenteChar">
    <w:name w:val="Předmět komentáře Char"/>
    <w:basedOn w:val="TextkomenteChar"/>
    <w:link w:val="Pedmtkomente"/>
    <w:uiPriority w:val="99"/>
    <w:rsid w:val="00096A9F"/>
    <w:rPr>
      <w:b/>
      <w:bCs/>
    </w:rPr>
  </w:style>
  <w:style w:type="paragraph" w:styleId="Seznamsodrkami3">
    <w:name w:val="List Bullet 3"/>
    <w:basedOn w:val="Normln"/>
    <w:autoRedefine/>
    <w:uiPriority w:val="99"/>
    <w:semiHidden/>
    <w:rsid w:val="00096A9F"/>
    <w:pPr>
      <w:numPr>
        <w:numId w:val="3"/>
      </w:numPr>
      <w:ind w:left="714" w:hanging="357"/>
    </w:pPr>
    <w:rPr>
      <w:rFonts w:ascii="Times New Roman" w:hAnsi="Times New Roman"/>
      <w:sz w:val="24"/>
    </w:rPr>
  </w:style>
  <w:style w:type="paragraph" w:styleId="Seznamsodrkami4">
    <w:name w:val="List Bullet 4"/>
    <w:basedOn w:val="Normln"/>
    <w:autoRedefine/>
    <w:uiPriority w:val="99"/>
    <w:semiHidden/>
    <w:rsid w:val="00096A9F"/>
    <w:pPr>
      <w:tabs>
        <w:tab w:val="num" w:pos="1440"/>
      </w:tabs>
      <w:ind w:left="1434" w:hanging="357"/>
    </w:pPr>
    <w:rPr>
      <w:rFonts w:ascii="Times New Roman" w:hAnsi="Times New Roman"/>
      <w:sz w:val="24"/>
    </w:rPr>
  </w:style>
  <w:style w:type="paragraph" w:styleId="Seznam2">
    <w:name w:val="List 2"/>
    <w:basedOn w:val="Normln"/>
    <w:uiPriority w:val="99"/>
    <w:semiHidden/>
    <w:rsid w:val="00096A9F"/>
    <w:pPr>
      <w:ind w:left="566" w:hanging="283"/>
      <w:jc w:val="left"/>
    </w:pPr>
    <w:rPr>
      <w:rFonts w:ascii="Times New Roman" w:hAnsi="Times New Roman"/>
      <w:sz w:val="24"/>
    </w:rPr>
  </w:style>
  <w:style w:type="paragraph" w:styleId="Pokraovnseznamu">
    <w:name w:val="List Continue"/>
    <w:basedOn w:val="Normln"/>
    <w:uiPriority w:val="99"/>
    <w:semiHidden/>
    <w:unhideWhenUsed/>
    <w:rsid w:val="00096A9F"/>
    <w:pPr>
      <w:spacing w:after="120"/>
      <w:ind w:left="283"/>
      <w:contextualSpacing/>
    </w:pPr>
    <w:rPr>
      <w:rFonts w:ascii="Calibri" w:eastAsia="Calibri" w:hAnsi="Calibri"/>
      <w:szCs w:val="22"/>
      <w:lang w:eastAsia="en-US"/>
    </w:rPr>
  </w:style>
  <w:style w:type="paragraph" w:customStyle="1" w:styleId="Normln0">
    <w:name w:val="Normln"/>
    <w:rsid w:val="00096A9F"/>
    <w:pPr>
      <w:autoSpaceDE w:val="0"/>
      <w:autoSpaceDN w:val="0"/>
      <w:adjustRightInd w:val="0"/>
    </w:pPr>
    <w:rPr>
      <w:sz w:val="24"/>
      <w:szCs w:val="24"/>
    </w:rPr>
  </w:style>
  <w:style w:type="paragraph" w:styleId="Pokraovnseznamu2">
    <w:name w:val="List Continue 2"/>
    <w:basedOn w:val="Normln"/>
    <w:uiPriority w:val="99"/>
    <w:semiHidden/>
    <w:unhideWhenUsed/>
    <w:rsid w:val="00096A9F"/>
    <w:pPr>
      <w:spacing w:after="120"/>
      <w:ind w:left="566"/>
      <w:contextualSpacing/>
    </w:pPr>
    <w:rPr>
      <w:rFonts w:ascii="Calibri" w:eastAsia="Calibri" w:hAnsi="Calibri"/>
      <w:szCs w:val="22"/>
      <w:lang w:eastAsia="en-US"/>
    </w:rPr>
  </w:style>
  <w:style w:type="paragraph" w:customStyle="1" w:styleId="odrkyzlevaodsazeno0">
    <w:name w:val="odrážky zleva odsazení o 0"/>
    <w:aliases w:val="6 cm"/>
    <w:basedOn w:val="Normln"/>
    <w:link w:val="odrkyzlevaodsazeno0Char"/>
    <w:qFormat/>
    <w:rsid w:val="00377601"/>
    <w:pPr>
      <w:numPr>
        <w:numId w:val="2"/>
      </w:numPr>
      <w:spacing w:after="120"/>
      <w:ind w:left="584" w:hanging="227"/>
    </w:pPr>
    <w:rPr>
      <w:sz w:val="20"/>
      <w:szCs w:val="20"/>
    </w:rPr>
  </w:style>
  <w:style w:type="character" w:customStyle="1" w:styleId="OdstavecseseznamemChar">
    <w:name w:val="Odstavec se seznamem Char"/>
    <w:basedOn w:val="Standardnpsmoodstavce"/>
    <w:link w:val="Odstavecseseznamem"/>
    <w:uiPriority w:val="34"/>
    <w:rsid w:val="002311FE"/>
    <w:rPr>
      <w:rFonts w:ascii="Arial" w:eastAsia="Calibri" w:hAnsi="Arial" w:cs="Arial"/>
      <w:b/>
      <w:sz w:val="28"/>
      <w:szCs w:val="28"/>
      <w:lang w:eastAsia="en-US"/>
    </w:rPr>
  </w:style>
  <w:style w:type="character" w:customStyle="1" w:styleId="odrkyzlevaodsazeno0Char">
    <w:name w:val="odrážky zleva odsazení o 0 Char"/>
    <w:aliases w:val="6 cm Char"/>
    <w:basedOn w:val="OdstavecseseznamemChar"/>
    <w:link w:val="odrkyzlevaodsazeno0"/>
    <w:rsid w:val="00377601"/>
  </w:style>
  <w:style w:type="paragraph" w:customStyle="1" w:styleId="Styl1">
    <w:name w:val="Styl1"/>
    <w:basedOn w:val="Normln"/>
    <w:rsid w:val="005C61B6"/>
    <w:pPr>
      <w:spacing w:after="60"/>
      <w:ind w:firstLine="567"/>
    </w:pPr>
    <w:rPr>
      <w:rFonts w:cs="Arial"/>
      <w:sz w:val="20"/>
    </w:rPr>
  </w:style>
  <w:style w:type="paragraph" w:customStyle="1" w:styleId="obycA10">
    <w:name w:val="obyc_A10"/>
    <w:basedOn w:val="Normln"/>
    <w:rsid w:val="005C61B6"/>
    <w:pPr>
      <w:jc w:val="left"/>
    </w:pPr>
    <w:rPr>
      <w:sz w:val="20"/>
    </w:rPr>
  </w:style>
  <w:style w:type="paragraph" w:styleId="Bezmezer">
    <w:name w:val="No Spacing"/>
    <w:link w:val="BezmezerChar"/>
    <w:uiPriority w:val="1"/>
    <w:qFormat/>
    <w:rsid w:val="002B4317"/>
    <w:rPr>
      <w:rFonts w:ascii="Calibri" w:hAnsi="Calibri"/>
      <w:sz w:val="22"/>
      <w:szCs w:val="22"/>
      <w:lang w:eastAsia="en-US"/>
    </w:rPr>
  </w:style>
  <w:style w:type="character" w:customStyle="1" w:styleId="BezmezerChar">
    <w:name w:val="Bez mezer Char"/>
    <w:basedOn w:val="Standardnpsmoodstavce"/>
    <w:link w:val="Bezmezer"/>
    <w:uiPriority w:val="1"/>
    <w:rsid w:val="002B4317"/>
    <w:rPr>
      <w:rFonts w:ascii="Calibri" w:hAnsi="Calibri"/>
      <w:sz w:val="22"/>
      <w:szCs w:val="22"/>
      <w:lang w:val="cs-CZ" w:eastAsia="en-US" w:bidi="ar-SA"/>
    </w:rPr>
  </w:style>
  <w:style w:type="paragraph" w:customStyle="1" w:styleId="odrkybezmezer">
    <w:name w:val="odrážky bez mezer"/>
    <w:aliases w:val="vlevo kraj 6 mm"/>
    <w:basedOn w:val="odrkyzlevaodsazeno0"/>
    <w:link w:val="odrkybezmezerChar"/>
    <w:qFormat/>
    <w:rsid w:val="004A0179"/>
    <w:pPr>
      <w:spacing w:after="240"/>
      <w:ind w:left="340" w:hanging="340"/>
    </w:pPr>
  </w:style>
  <w:style w:type="character" w:customStyle="1" w:styleId="odrkybezmezerChar">
    <w:name w:val="odrážky bez mezer Char"/>
    <w:aliases w:val="vlevo kraj 6 mm Char"/>
    <w:basedOn w:val="odrkyzlevaodsazeno0Char"/>
    <w:link w:val="odrkybezmezer"/>
    <w:rsid w:val="004A0179"/>
  </w:style>
  <w:style w:type="paragraph" w:styleId="Podtitul">
    <w:name w:val="Subtitle"/>
    <w:aliases w:val="2.1"/>
    <w:basedOn w:val="Normln"/>
    <w:next w:val="Normln"/>
    <w:link w:val="PodtitulChar"/>
    <w:uiPriority w:val="11"/>
    <w:qFormat/>
    <w:rsid w:val="00BE14D7"/>
    <w:pPr>
      <w:numPr>
        <w:ilvl w:val="1"/>
        <w:numId w:val="23"/>
      </w:numPr>
      <w:spacing w:before="360" w:after="240"/>
    </w:pPr>
    <w:rPr>
      <w:b/>
      <w:sz w:val="28"/>
      <w:szCs w:val="28"/>
    </w:rPr>
  </w:style>
  <w:style w:type="character" w:customStyle="1" w:styleId="PodtitulChar">
    <w:name w:val="Podtitul Char"/>
    <w:aliases w:val="2.1 Char"/>
    <w:basedOn w:val="Standardnpsmoodstavce"/>
    <w:link w:val="Podtitul"/>
    <w:uiPriority w:val="11"/>
    <w:rsid w:val="00BE14D7"/>
    <w:rPr>
      <w:b/>
      <w:sz w:val="28"/>
      <w:szCs w:val="28"/>
    </w:rPr>
  </w:style>
  <w:style w:type="character" w:customStyle="1" w:styleId="StyleParagraphItalicChar">
    <w:name w:val="Style Paragraph + Italic Char"/>
    <w:basedOn w:val="Standardnpsmoodstavce"/>
    <w:rsid w:val="00A617BC"/>
    <w:rPr>
      <w:i/>
      <w:iCs/>
      <w:sz w:val="24"/>
      <w:szCs w:val="24"/>
      <w:lang w:val="en-GB" w:eastAsia="en-US" w:bidi="ar-SA"/>
    </w:rPr>
  </w:style>
  <w:style w:type="paragraph" w:customStyle="1" w:styleId="Mujnadpis2">
    <w:name w:val="Mujnadpis2"/>
    <w:basedOn w:val="Normln"/>
    <w:rsid w:val="00A617BC"/>
    <w:pPr>
      <w:jc w:val="left"/>
    </w:pPr>
    <w:rPr>
      <w:b/>
      <w:bCs/>
      <w:sz w:val="24"/>
      <w:u w:val="single"/>
    </w:rPr>
  </w:style>
  <w:style w:type="paragraph" w:customStyle="1" w:styleId="ParagraphIndent">
    <w:name w:val="ParagraphIndent"/>
    <w:basedOn w:val="Normln"/>
    <w:rsid w:val="00A617BC"/>
    <w:pPr>
      <w:tabs>
        <w:tab w:val="num" w:pos="720"/>
        <w:tab w:val="num" w:pos="1260"/>
      </w:tabs>
      <w:spacing w:after="120"/>
      <w:ind w:left="720" w:hanging="360"/>
      <w:jc w:val="left"/>
    </w:pPr>
    <w:rPr>
      <w:rFonts w:ascii="Times New Roman" w:hAnsi="Times New Roman"/>
      <w:sz w:val="24"/>
      <w:lang w:val="en-GB" w:eastAsia="en-US"/>
    </w:rPr>
  </w:style>
  <w:style w:type="paragraph" w:customStyle="1" w:styleId="h3">
    <w:name w:val="h3"/>
    <w:basedOn w:val="Normln"/>
    <w:rsid w:val="00A617BC"/>
    <w:pPr>
      <w:spacing w:before="100" w:beforeAutospacing="1" w:after="100" w:afterAutospacing="1"/>
      <w:jc w:val="left"/>
    </w:pPr>
    <w:rPr>
      <w:rFonts w:ascii="Verdana" w:eastAsia="Arial Unicode MS" w:hAnsi="Verdana" w:cs="Arial Unicode MS"/>
      <w:sz w:val="20"/>
      <w:szCs w:val="20"/>
    </w:rPr>
  </w:style>
  <w:style w:type="character" w:customStyle="1" w:styleId="NzevChar">
    <w:name w:val="Název Char"/>
    <w:basedOn w:val="Standardnpsmoodstavce"/>
    <w:link w:val="Nzev"/>
    <w:uiPriority w:val="10"/>
    <w:rsid w:val="002518C4"/>
    <w:rPr>
      <w:rFonts w:ascii="Arial" w:hAnsi="Arial" w:cs="Arial"/>
      <w:b/>
      <w:bCs/>
      <w:kern w:val="28"/>
      <w:sz w:val="28"/>
      <w:szCs w:val="32"/>
    </w:rPr>
  </w:style>
  <w:style w:type="character" w:customStyle="1" w:styleId="Zkladntext3Char">
    <w:name w:val="Základní text 3 Char"/>
    <w:basedOn w:val="Standardnpsmoodstavce"/>
    <w:link w:val="Zkladntext3"/>
    <w:uiPriority w:val="99"/>
    <w:semiHidden/>
    <w:rsid w:val="002518C4"/>
    <w:rPr>
      <w:rFonts w:ascii="Arial" w:hAnsi="Arial"/>
      <w:b/>
      <w:bCs/>
      <w:color w:val="800000"/>
      <w:sz w:val="22"/>
      <w:szCs w:val="24"/>
    </w:rPr>
  </w:style>
  <w:style w:type="paragraph" w:styleId="Rozvrendokumentu">
    <w:name w:val="Document Map"/>
    <w:basedOn w:val="Normln"/>
    <w:link w:val="RozvrendokumentuChar"/>
    <w:uiPriority w:val="99"/>
    <w:semiHidden/>
    <w:unhideWhenUsed/>
    <w:rsid w:val="002518C4"/>
    <w:pPr>
      <w:jc w:val="right"/>
    </w:pPr>
    <w:rPr>
      <w:rFonts w:ascii="Tahoma" w:eastAsia="Calibri" w:hAnsi="Tahoma" w:cs="Tahoma"/>
      <w:sz w:val="16"/>
      <w:szCs w:val="16"/>
      <w:lang w:eastAsia="en-US"/>
    </w:rPr>
  </w:style>
  <w:style w:type="character" w:customStyle="1" w:styleId="RozvrendokumentuChar">
    <w:name w:val="Rozvržení dokumentu Char"/>
    <w:basedOn w:val="Standardnpsmoodstavce"/>
    <w:link w:val="Rozvrendokumentu"/>
    <w:uiPriority w:val="99"/>
    <w:semiHidden/>
    <w:rsid w:val="002518C4"/>
    <w:rPr>
      <w:rFonts w:ascii="Tahoma" w:eastAsia="Calibri" w:hAnsi="Tahoma" w:cs="Tahoma"/>
      <w:sz w:val="16"/>
      <w:szCs w:val="16"/>
      <w:lang w:eastAsia="en-US"/>
    </w:rPr>
  </w:style>
  <w:style w:type="paragraph" w:styleId="Textvbloku">
    <w:name w:val="Block Text"/>
    <w:basedOn w:val="Normln"/>
    <w:uiPriority w:val="99"/>
    <w:unhideWhenUsed/>
    <w:rsid w:val="002518C4"/>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adjustRightInd w:val="0"/>
      <w:ind w:left="1152" w:right="1152"/>
      <w:jc w:val="right"/>
    </w:pPr>
    <w:rPr>
      <w:rFonts w:ascii="Calibri" w:hAnsi="Calibri"/>
      <w:i/>
      <w:iCs/>
      <w:color w:val="4F81BD"/>
      <w:sz w:val="20"/>
      <w:szCs w:val="20"/>
    </w:rPr>
  </w:style>
  <w:style w:type="character" w:customStyle="1" w:styleId="ZkladntextChar1">
    <w:name w:val="Základní text Char1"/>
    <w:basedOn w:val="Standardnpsmoodstavce"/>
    <w:link w:val="Zkladntext"/>
    <w:uiPriority w:val="99"/>
    <w:rsid w:val="002518C4"/>
    <w:rPr>
      <w:rFonts w:ascii="Arial" w:hAnsi="Arial" w:cs="Arial"/>
    </w:rPr>
  </w:style>
  <w:style w:type="numbering" w:customStyle="1" w:styleId="Styl2">
    <w:name w:val="Styl2"/>
    <w:rsid w:val="00617043"/>
    <w:pPr>
      <w:numPr>
        <w:numId w:val="8"/>
      </w:numPr>
    </w:pPr>
  </w:style>
  <w:style w:type="character" w:customStyle="1" w:styleId="Nzvyobrzku">
    <w:name w:val="Názvy obrázku"/>
    <w:basedOn w:val="Siln"/>
    <w:uiPriority w:val="1"/>
    <w:qFormat/>
    <w:rsid w:val="000A3839"/>
    <w:rPr>
      <w:rFonts w:ascii="Arial Black" w:hAnsi="Arial Black"/>
      <w:i/>
    </w:rPr>
  </w:style>
  <w:style w:type="paragraph" w:customStyle="1" w:styleId="Dilonadpis1">
    <w:name w:val="Dilo_nadpis_1"/>
    <w:basedOn w:val="Nadpis2"/>
    <w:link w:val="Dilonadpis1Char"/>
    <w:autoRedefine/>
    <w:rsid w:val="001F34D8"/>
    <w:pPr>
      <w:numPr>
        <w:numId w:val="46"/>
      </w:numPr>
      <w:ind w:left="567" w:hanging="567"/>
    </w:pPr>
  </w:style>
  <w:style w:type="paragraph" w:customStyle="1" w:styleId="Dilotext">
    <w:name w:val="Dilo_text"/>
    <w:basedOn w:val="Dilonadpis1"/>
    <w:autoRedefine/>
    <w:qFormat/>
    <w:rsid w:val="009B1D86"/>
    <w:pPr>
      <w:spacing w:after="120"/>
      <w:ind w:left="142" w:firstLine="0"/>
    </w:pPr>
    <w:rPr>
      <w:sz w:val="20"/>
    </w:rPr>
  </w:style>
  <w:style w:type="paragraph" w:customStyle="1" w:styleId="Nadpis">
    <w:name w:val="Nadpis"/>
    <w:basedOn w:val="Normln"/>
    <w:next w:val="Zkladntext"/>
    <w:rsid w:val="00EE2C7C"/>
    <w:pPr>
      <w:keepNext/>
      <w:suppressAutoHyphens/>
      <w:spacing w:before="240" w:after="120"/>
      <w:jc w:val="left"/>
    </w:pPr>
    <w:rPr>
      <w:rFonts w:eastAsia="Arial Unicode MS" w:cs="Tahoma"/>
      <w:bCs/>
      <w:sz w:val="28"/>
      <w:szCs w:val="28"/>
      <w:lang w:eastAsia="ar-SA"/>
    </w:rPr>
  </w:style>
  <w:style w:type="character" w:styleId="Zdraznnjemn">
    <w:name w:val="Subtle Emphasis"/>
    <w:basedOn w:val="Standardnpsmoodstavce"/>
    <w:uiPriority w:val="19"/>
    <w:qFormat/>
    <w:rsid w:val="008D4293"/>
    <w:rPr>
      <w:i/>
      <w:iCs/>
      <w:color w:val="808080"/>
    </w:rPr>
  </w:style>
  <w:style w:type="paragraph" w:styleId="Revize">
    <w:name w:val="Revision"/>
    <w:hidden/>
    <w:uiPriority w:val="99"/>
    <w:semiHidden/>
    <w:rsid w:val="008D4293"/>
    <w:rPr>
      <w:rFonts w:ascii="Times New Roman" w:hAnsi="Times New Roman"/>
      <w:sz w:val="24"/>
      <w:szCs w:val="24"/>
      <w:lang w:eastAsia="ar-SA"/>
    </w:rPr>
  </w:style>
  <w:style w:type="paragraph" w:customStyle="1" w:styleId="Rbntext">
    <w:name w:val="R běžný text"/>
    <w:rsid w:val="008D4293"/>
    <w:pPr>
      <w:spacing w:after="120"/>
      <w:jc w:val="both"/>
    </w:pPr>
  </w:style>
  <w:style w:type="numbering" w:customStyle="1" w:styleId="Styl3">
    <w:name w:val="Styl3"/>
    <w:rsid w:val="00FA6BE4"/>
    <w:pPr>
      <w:numPr>
        <w:numId w:val="9"/>
      </w:numPr>
    </w:pPr>
  </w:style>
  <w:style w:type="numbering" w:customStyle="1" w:styleId="Styl4">
    <w:name w:val="Styl4"/>
    <w:rsid w:val="00852693"/>
    <w:pPr>
      <w:numPr>
        <w:numId w:val="10"/>
      </w:numPr>
    </w:pPr>
  </w:style>
  <w:style w:type="numbering" w:customStyle="1" w:styleId="Styl5">
    <w:name w:val="Styl5"/>
    <w:rsid w:val="00852693"/>
    <w:pPr>
      <w:numPr>
        <w:numId w:val="11"/>
      </w:numPr>
    </w:pPr>
  </w:style>
  <w:style w:type="numbering" w:customStyle="1" w:styleId="Styl6">
    <w:name w:val="Styl6"/>
    <w:rsid w:val="00852693"/>
    <w:pPr>
      <w:numPr>
        <w:numId w:val="12"/>
      </w:numPr>
    </w:pPr>
  </w:style>
  <w:style w:type="numbering" w:customStyle="1" w:styleId="Styl7">
    <w:name w:val="Styl7"/>
    <w:rsid w:val="00852693"/>
    <w:pPr>
      <w:numPr>
        <w:numId w:val="13"/>
      </w:numPr>
    </w:pPr>
  </w:style>
  <w:style w:type="numbering" w:customStyle="1" w:styleId="Styl8">
    <w:name w:val="Styl8"/>
    <w:rsid w:val="00852693"/>
    <w:pPr>
      <w:numPr>
        <w:numId w:val="15"/>
      </w:numPr>
    </w:pPr>
  </w:style>
  <w:style w:type="numbering" w:customStyle="1" w:styleId="Styl9">
    <w:name w:val="Styl9"/>
    <w:rsid w:val="00852693"/>
    <w:pPr>
      <w:numPr>
        <w:numId w:val="16"/>
      </w:numPr>
    </w:pPr>
  </w:style>
  <w:style w:type="numbering" w:customStyle="1" w:styleId="Styl10">
    <w:name w:val="Styl10"/>
    <w:rsid w:val="00852693"/>
    <w:pPr>
      <w:numPr>
        <w:numId w:val="17"/>
      </w:numPr>
    </w:pPr>
  </w:style>
  <w:style w:type="numbering" w:customStyle="1" w:styleId="Styl11">
    <w:name w:val="Styl11"/>
    <w:rsid w:val="00852693"/>
    <w:pPr>
      <w:numPr>
        <w:numId w:val="18"/>
      </w:numPr>
    </w:pPr>
  </w:style>
  <w:style w:type="numbering" w:customStyle="1" w:styleId="Styl12">
    <w:name w:val="Styl12"/>
    <w:rsid w:val="00B823EB"/>
    <w:pPr>
      <w:numPr>
        <w:numId w:val="19"/>
      </w:numPr>
    </w:pPr>
  </w:style>
  <w:style w:type="numbering" w:customStyle="1" w:styleId="Styl13">
    <w:name w:val="Styl13"/>
    <w:rsid w:val="00926E82"/>
    <w:pPr>
      <w:numPr>
        <w:numId w:val="20"/>
      </w:numPr>
    </w:pPr>
  </w:style>
  <w:style w:type="numbering" w:customStyle="1" w:styleId="Styl14">
    <w:name w:val="Styl14"/>
    <w:rsid w:val="001E0EB0"/>
    <w:pPr>
      <w:numPr>
        <w:numId w:val="21"/>
      </w:numPr>
    </w:pPr>
  </w:style>
  <w:style w:type="character" w:customStyle="1" w:styleId="Nadpis5Char">
    <w:name w:val="Nadpis 5 Char"/>
    <w:basedOn w:val="Standardnpsmoodstavce"/>
    <w:link w:val="Nadpis5"/>
    <w:uiPriority w:val="9"/>
    <w:rsid w:val="009E2909"/>
    <w:rPr>
      <w:rFonts w:eastAsia="Calibri"/>
      <w:b/>
      <w:bCs/>
      <w:sz w:val="24"/>
      <w:szCs w:val="24"/>
    </w:rPr>
  </w:style>
  <w:style w:type="character" w:customStyle="1" w:styleId="Nadpis6Char">
    <w:name w:val="Nadpis 6 Char"/>
    <w:basedOn w:val="Standardnpsmoodstavce"/>
    <w:link w:val="Nadpis6"/>
    <w:uiPriority w:val="9"/>
    <w:rsid w:val="001E0EB0"/>
    <w:rPr>
      <w:rFonts w:cs="Arial"/>
      <w:b/>
      <w:bCs/>
      <w:sz w:val="32"/>
      <w:szCs w:val="28"/>
    </w:rPr>
  </w:style>
  <w:style w:type="character" w:customStyle="1" w:styleId="Nadpis8Char">
    <w:name w:val="Nadpis 8 Char"/>
    <w:basedOn w:val="Standardnpsmoodstavce"/>
    <w:link w:val="Nadpis8"/>
    <w:uiPriority w:val="9"/>
    <w:rsid w:val="001E0EB0"/>
    <w:rPr>
      <w:rFonts w:cs="Arial"/>
      <w:b/>
      <w:bCs/>
      <w:sz w:val="28"/>
      <w:szCs w:val="28"/>
    </w:rPr>
  </w:style>
  <w:style w:type="numbering" w:customStyle="1" w:styleId="Styl15">
    <w:name w:val="Styl15"/>
    <w:rsid w:val="000C73FB"/>
    <w:pPr>
      <w:numPr>
        <w:numId w:val="22"/>
      </w:numPr>
    </w:pPr>
  </w:style>
  <w:style w:type="numbering" w:customStyle="1" w:styleId="Styl16">
    <w:name w:val="Styl16"/>
    <w:rsid w:val="00742879"/>
    <w:pPr>
      <w:numPr>
        <w:numId w:val="24"/>
      </w:numPr>
    </w:pPr>
  </w:style>
  <w:style w:type="paragraph" w:customStyle="1" w:styleId="Styl17">
    <w:name w:val="Styl17"/>
    <w:basedOn w:val="Podtitul"/>
    <w:link w:val="Styl17Char"/>
    <w:qFormat/>
    <w:rsid w:val="00742879"/>
    <w:pPr>
      <w:numPr>
        <w:ilvl w:val="0"/>
        <w:numId w:val="0"/>
      </w:numPr>
      <w:ind w:left="709" w:hanging="709"/>
    </w:pPr>
  </w:style>
  <w:style w:type="numbering" w:customStyle="1" w:styleId="Styl18">
    <w:name w:val="Styl18"/>
    <w:rsid w:val="00CE6493"/>
    <w:pPr>
      <w:numPr>
        <w:numId w:val="25"/>
      </w:numPr>
    </w:pPr>
  </w:style>
  <w:style w:type="character" w:customStyle="1" w:styleId="Styl17Char">
    <w:name w:val="Styl17 Char"/>
    <w:basedOn w:val="PodtitulChar"/>
    <w:link w:val="Styl17"/>
    <w:rsid w:val="00742879"/>
    <w:rPr>
      <w:b/>
    </w:rPr>
  </w:style>
  <w:style w:type="paragraph" w:customStyle="1" w:styleId="Stylkapitola1">
    <w:name w:val="Styl kapitola 1"/>
    <w:basedOn w:val="Dilonadpis1"/>
    <w:link w:val="Stylkapitola1Char"/>
    <w:qFormat/>
    <w:rsid w:val="00513233"/>
    <w:rPr>
      <w:rFonts w:eastAsia="Calibri"/>
    </w:rPr>
  </w:style>
  <w:style w:type="paragraph" w:customStyle="1" w:styleId="podkapitola11Styl19">
    <w:name w:val="podkapitola 1.1.Styl19"/>
    <w:basedOn w:val="Podtitul"/>
    <w:link w:val="podkapitola11Styl19Char"/>
    <w:qFormat/>
    <w:rsid w:val="00513233"/>
    <w:pPr>
      <w:numPr>
        <w:ilvl w:val="0"/>
        <w:numId w:val="0"/>
      </w:numPr>
      <w:ind w:left="709" w:hanging="709"/>
    </w:pPr>
  </w:style>
  <w:style w:type="character" w:customStyle="1" w:styleId="Stylkapitola1Char">
    <w:name w:val="Styl kapitola 1 Char"/>
    <w:basedOn w:val="PodtitulChar"/>
    <w:link w:val="Stylkapitola1"/>
    <w:rsid w:val="00513233"/>
    <w:rPr>
      <w:rFonts w:eastAsia="Calibri" w:cs="Arial"/>
      <w:bCs/>
      <w:caps/>
      <w:kern w:val="32"/>
      <w:sz w:val="32"/>
      <w:szCs w:val="32"/>
      <w:lang w:eastAsia="ar-SA"/>
    </w:rPr>
  </w:style>
  <w:style w:type="paragraph" w:customStyle="1" w:styleId="podkapitola21">
    <w:name w:val="podkapitola 2.1."/>
    <w:basedOn w:val="podkapitola11Styl19"/>
    <w:link w:val="podkapitola21Char"/>
    <w:qFormat/>
    <w:rsid w:val="00650A13"/>
  </w:style>
  <w:style w:type="character" w:customStyle="1" w:styleId="podkapitola11Styl19Char">
    <w:name w:val="podkapitola 1.1.Styl19 Char"/>
    <w:basedOn w:val="PodtitulChar"/>
    <w:link w:val="podkapitola11Styl19"/>
    <w:rsid w:val="00513233"/>
    <w:rPr>
      <w:b/>
    </w:rPr>
  </w:style>
  <w:style w:type="paragraph" w:customStyle="1" w:styleId="3kapitola">
    <w:name w:val="3. kapitola"/>
    <w:basedOn w:val="Dilonadpis1"/>
    <w:link w:val="3kapitolaChar"/>
    <w:qFormat/>
    <w:rsid w:val="00650A13"/>
  </w:style>
  <w:style w:type="character" w:customStyle="1" w:styleId="podkapitola21Char">
    <w:name w:val="podkapitola 2.1. Char"/>
    <w:basedOn w:val="podkapitola11Styl19Char"/>
    <w:link w:val="podkapitola21"/>
    <w:rsid w:val="00650A13"/>
  </w:style>
  <w:style w:type="paragraph" w:customStyle="1" w:styleId="31">
    <w:name w:val="3.1."/>
    <w:basedOn w:val="Styl17"/>
    <w:link w:val="31Char"/>
    <w:qFormat/>
    <w:rsid w:val="00650A13"/>
    <w:pPr>
      <w:ind w:left="360" w:hanging="360"/>
    </w:pPr>
  </w:style>
  <w:style w:type="character" w:customStyle="1" w:styleId="Dilonadpis1Char">
    <w:name w:val="Dilo_nadpis_1 Char"/>
    <w:basedOn w:val="Nadpis2Char"/>
    <w:link w:val="Dilonadpis1"/>
    <w:rsid w:val="001F34D8"/>
    <w:rPr>
      <w:b/>
      <w:bCs/>
      <w:caps/>
    </w:rPr>
  </w:style>
  <w:style w:type="character" w:customStyle="1" w:styleId="3kapitolaChar">
    <w:name w:val="3. kapitola Char"/>
    <w:basedOn w:val="Dilonadpis1Char"/>
    <w:link w:val="3kapitola"/>
    <w:rsid w:val="00650A13"/>
  </w:style>
  <w:style w:type="character" w:customStyle="1" w:styleId="31Char">
    <w:name w:val="3.1. Char"/>
    <w:basedOn w:val="podkapitola11Styl19Char"/>
    <w:link w:val="31"/>
    <w:rsid w:val="00650A13"/>
    <w:rPr>
      <w:b/>
    </w:rPr>
  </w:style>
  <w:style w:type="paragraph" w:customStyle="1" w:styleId="11">
    <w:name w:val="1.1."/>
    <w:basedOn w:val="Styl17"/>
    <w:link w:val="11Char"/>
    <w:qFormat/>
    <w:rsid w:val="007C5BE3"/>
    <w:pPr>
      <w:ind w:left="1440" w:hanging="360"/>
    </w:pPr>
  </w:style>
  <w:style w:type="character" w:customStyle="1" w:styleId="11Char">
    <w:name w:val="1.1. Char"/>
    <w:basedOn w:val="podkapitola11Styl19Char"/>
    <w:link w:val="11"/>
    <w:locked/>
    <w:rsid w:val="007C5BE3"/>
    <w:rPr>
      <w:b/>
    </w:rPr>
  </w:style>
</w:styles>
</file>

<file path=word/webSettings.xml><?xml version="1.0" encoding="utf-8"?>
<w:webSettings xmlns:r="http://schemas.openxmlformats.org/officeDocument/2006/relationships" xmlns:w="http://schemas.openxmlformats.org/wordprocessingml/2006/main">
  <w:divs>
    <w:div w:id="27804367">
      <w:bodyDiv w:val="1"/>
      <w:marLeft w:val="0"/>
      <w:marRight w:val="0"/>
      <w:marTop w:val="0"/>
      <w:marBottom w:val="0"/>
      <w:divBdr>
        <w:top w:val="none" w:sz="0" w:space="0" w:color="auto"/>
        <w:left w:val="none" w:sz="0" w:space="0" w:color="auto"/>
        <w:bottom w:val="none" w:sz="0" w:space="0" w:color="auto"/>
        <w:right w:val="none" w:sz="0" w:space="0" w:color="auto"/>
      </w:divBdr>
    </w:div>
    <w:div w:id="42826998">
      <w:bodyDiv w:val="1"/>
      <w:marLeft w:val="0"/>
      <w:marRight w:val="0"/>
      <w:marTop w:val="0"/>
      <w:marBottom w:val="0"/>
      <w:divBdr>
        <w:top w:val="none" w:sz="0" w:space="0" w:color="auto"/>
        <w:left w:val="none" w:sz="0" w:space="0" w:color="auto"/>
        <w:bottom w:val="none" w:sz="0" w:space="0" w:color="auto"/>
        <w:right w:val="none" w:sz="0" w:space="0" w:color="auto"/>
      </w:divBdr>
    </w:div>
    <w:div w:id="44185850">
      <w:bodyDiv w:val="1"/>
      <w:marLeft w:val="0"/>
      <w:marRight w:val="0"/>
      <w:marTop w:val="0"/>
      <w:marBottom w:val="0"/>
      <w:divBdr>
        <w:top w:val="none" w:sz="0" w:space="0" w:color="auto"/>
        <w:left w:val="none" w:sz="0" w:space="0" w:color="auto"/>
        <w:bottom w:val="none" w:sz="0" w:space="0" w:color="auto"/>
        <w:right w:val="none" w:sz="0" w:space="0" w:color="auto"/>
      </w:divBdr>
    </w:div>
    <w:div w:id="74936367">
      <w:bodyDiv w:val="1"/>
      <w:marLeft w:val="0"/>
      <w:marRight w:val="0"/>
      <w:marTop w:val="0"/>
      <w:marBottom w:val="0"/>
      <w:divBdr>
        <w:top w:val="none" w:sz="0" w:space="0" w:color="auto"/>
        <w:left w:val="none" w:sz="0" w:space="0" w:color="auto"/>
        <w:bottom w:val="none" w:sz="0" w:space="0" w:color="auto"/>
        <w:right w:val="none" w:sz="0" w:space="0" w:color="auto"/>
      </w:divBdr>
    </w:div>
    <w:div w:id="75904817">
      <w:bodyDiv w:val="1"/>
      <w:marLeft w:val="0"/>
      <w:marRight w:val="0"/>
      <w:marTop w:val="0"/>
      <w:marBottom w:val="0"/>
      <w:divBdr>
        <w:top w:val="none" w:sz="0" w:space="0" w:color="auto"/>
        <w:left w:val="none" w:sz="0" w:space="0" w:color="auto"/>
        <w:bottom w:val="none" w:sz="0" w:space="0" w:color="auto"/>
        <w:right w:val="none" w:sz="0" w:space="0" w:color="auto"/>
      </w:divBdr>
    </w:div>
    <w:div w:id="103577305">
      <w:bodyDiv w:val="1"/>
      <w:marLeft w:val="0"/>
      <w:marRight w:val="0"/>
      <w:marTop w:val="0"/>
      <w:marBottom w:val="0"/>
      <w:divBdr>
        <w:top w:val="none" w:sz="0" w:space="0" w:color="auto"/>
        <w:left w:val="none" w:sz="0" w:space="0" w:color="auto"/>
        <w:bottom w:val="none" w:sz="0" w:space="0" w:color="auto"/>
        <w:right w:val="none" w:sz="0" w:space="0" w:color="auto"/>
      </w:divBdr>
    </w:div>
    <w:div w:id="114568953">
      <w:bodyDiv w:val="1"/>
      <w:marLeft w:val="0"/>
      <w:marRight w:val="0"/>
      <w:marTop w:val="0"/>
      <w:marBottom w:val="0"/>
      <w:divBdr>
        <w:top w:val="none" w:sz="0" w:space="0" w:color="auto"/>
        <w:left w:val="none" w:sz="0" w:space="0" w:color="auto"/>
        <w:bottom w:val="none" w:sz="0" w:space="0" w:color="auto"/>
        <w:right w:val="none" w:sz="0" w:space="0" w:color="auto"/>
      </w:divBdr>
    </w:div>
    <w:div w:id="115607951">
      <w:bodyDiv w:val="1"/>
      <w:marLeft w:val="0"/>
      <w:marRight w:val="0"/>
      <w:marTop w:val="0"/>
      <w:marBottom w:val="0"/>
      <w:divBdr>
        <w:top w:val="none" w:sz="0" w:space="0" w:color="auto"/>
        <w:left w:val="none" w:sz="0" w:space="0" w:color="auto"/>
        <w:bottom w:val="none" w:sz="0" w:space="0" w:color="auto"/>
        <w:right w:val="none" w:sz="0" w:space="0" w:color="auto"/>
      </w:divBdr>
    </w:div>
    <w:div w:id="192499739">
      <w:bodyDiv w:val="1"/>
      <w:marLeft w:val="0"/>
      <w:marRight w:val="0"/>
      <w:marTop w:val="0"/>
      <w:marBottom w:val="0"/>
      <w:divBdr>
        <w:top w:val="none" w:sz="0" w:space="0" w:color="auto"/>
        <w:left w:val="none" w:sz="0" w:space="0" w:color="auto"/>
        <w:bottom w:val="none" w:sz="0" w:space="0" w:color="auto"/>
        <w:right w:val="none" w:sz="0" w:space="0" w:color="auto"/>
      </w:divBdr>
    </w:div>
    <w:div w:id="224339498">
      <w:bodyDiv w:val="1"/>
      <w:marLeft w:val="0"/>
      <w:marRight w:val="0"/>
      <w:marTop w:val="0"/>
      <w:marBottom w:val="0"/>
      <w:divBdr>
        <w:top w:val="none" w:sz="0" w:space="0" w:color="auto"/>
        <w:left w:val="none" w:sz="0" w:space="0" w:color="auto"/>
        <w:bottom w:val="none" w:sz="0" w:space="0" w:color="auto"/>
        <w:right w:val="none" w:sz="0" w:space="0" w:color="auto"/>
      </w:divBdr>
    </w:div>
    <w:div w:id="227768091">
      <w:bodyDiv w:val="1"/>
      <w:marLeft w:val="0"/>
      <w:marRight w:val="0"/>
      <w:marTop w:val="0"/>
      <w:marBottom w:val="0"/>
      <w:divBdr>
        <w:top w:val="none" w:sz="0" w:space="0" w:color="auto"/>
        <w:left w:val="none" w:sz="0" w:space="0" w:color="auto"/>
        <w:bottom w:val="none" w:sz="0" w:space="0" w:color="auto"/>
        <w:right w:val="none" w:sz="0" w:space="0" w:color="auto"/>
      </w:divBdr>
    </w:div>
    <w:div w:id="230775350">
      <w:bodyDiv w:val="1"/>
      <w:marLeft w:val="0"/>
      <w:marRight w:val="0"/>
      <w:marTop w:val="0"/>
      <w:marBottom w:val="0"/>
      <w:divBdr>
        <w:top w:val="none" w:sz="0" w:space="0" w:color="auto"/>
        <w:left w:val="none" w:sz="0" w:space="0" w:color="auto"/>
        <w:bottom w:val="none" w:sz="0" w:space="0" w:color="auto"/>
        <w:right w:val="none" w:sz="0" w:space="0" w:color="auto"/>
      </w:divBdr>
    </w:div>
    <w:div w:id="281619050">
      <w:bodyDiv w:val="1"/>
      <w:marLeft w:val="0"/>
      <w:marRight w:val="0"/>
      <w:marTop w:val="0"/>
      <w:marBottom w:val="0"/>
      <w:divBdr>
        <w:top w:val="none" w:sz="0" w:space="0" w:color="auto"/>
        <w:left w:val="none" w:sz="0" w:space="0" w:color="auto"/>
        <w:bottom w:val="none" w:sz="0" w:space="0" w:color="auto"/>
        <w:right w:val="none" w:sz="0" w:space="0" w:color="auto"/>
      </w:divBdr>
    </w:div>
    <w:div w:id="345444582">
      <w:bodyDiv w:val="1"/>
      <w:marLeft w:val="0"/>
      <w:marRight w:val="0"/>
      <w:marTop w:val="0"/>
      <w:marBottom w:val="0"/>
      <w:divBdr>
        <w:top w:val="none" w:sz="0" w:space="0" w:color="auto"/>
        <w:left w:val="none" w:sz="0" w:space="0" w:color="auto"/>
        <w:bottom w:val="none" w:sz="0" w:space="0" w:color="auto"/>
        <w:right w:val="none" w:sz="0" w:space="0" w:color="auto"/>
      </w:divBdr>
    </w:div>
    <w:div w:id="388698841">
      <w:bodyDiv w:val="1"/>
      <w:marLeft w:val="0"/>
      <w:marRight w:val="0"/>
      <w:marTop w:val="0"/>
      <w:marBottom w:val="0"/>
      <w:divBdr>
        <w:top w:val="none" w:sz="0" w:space="0" w:color="auto"/>
        <w:left w:val="none" w:sz="0" w:space="0" w:color="auto"/>
        <w:bottom w:val="none" w:sz="0" w:space="0" w:color="auto"/>
        <w:right w:val="none" w:sz="0" w:space="0" w:color="auto"/>
      </w:divBdr>
    </w:div>
    <w:div w:id="432943583">
      <w:bodyDiv w:val="1"/>
      <w:marLeft w:val="0"/>
      <w:marRight w:val="0"/>
      <w:marTop w:val="0"/>
      <w:marBottom w:val="0"/>
      <w:divBdr>
        <w:top w:val="none" w:sz="0" w:space="0" w:color="auto"/>
        <w:left w:val="none" w:sz="0" w:space="0" w:color="auto"/>
        <w:bottom w:val="none" w:sz="0" w:space="0" w:color="auto"/>
        <w:right w:val="none" w:sz="0" w:space="0" w:color="auto"/>
      </w:divBdr>
    </w:div>
    <w:div w:id="492648888">
      <w:bodyDiv w:val="1"/>
      <w:marLeft w:val="0"/>
      <w:marRight w:val="0"/>
      <w:marTop w:val="0"/>
      <w:marBottom w:val="0"/>
      <w:divBdr>
        <w:top w:val="none" w:sz="0" w:space="0" w:color="auto"/>
        <w:left w:val="none" w:sz="0" w:space="0" w:color="auto"/>
        <w:bottom w:val="none" w:sz="0" w:space="0" w:color="auto"/>
        <w:right w:val="none" w:sz="0" w:space="0" w:color="auto"/>
      </w:divBdr>
    </w:div>
    <w:div w:id="554202696">
      <w:bodyDiv w:val="1"/>
      <w:marLeft w:val="0"/>
      <w:marRight w:val="0"/>
      <w:marTop w:val="0"/>
      <w:marBottom w:val="0"/>
      <w:divBdr>
        <w:top w:val="none" w:sz="0" w:space="0" w:color="auto"/>
        <w:left w:val="none" w:sz="0" w:space="0" w:color="auto"/>
        <w:bottom w:val="none" w:sz="0" w:space="0" w:color="auto"/>
        <w:right w:val="none" w:sz="0" w:space="0" w:color="auto"/>
      </w:divBdr>
    </w:div>
    <w:div w:id="643386736">
      <w:bodyDiv w:val="1"/>
      <w:marLeft w:val="0"/>
      <w:marRight w:val="0"/>
      <w:marTop w:val="0"/>
      <w:marBottom w:val="0"/>
      <w:divBdr>
        <w:top w:val="none" w:sz="0" w:space="0" w:color="auto"/>
        <w:left w:val="none" w:sz="0" w:space="0" w:color="auto"/>
        <w:bottom w:val="none" w:sz="0" w:space="0" w:color="auto"/>
        <w:right w:val="none" w:sz="0" w:space="0" w:color="auto"/>
      </w:divBdr>
    </w:div>
    <w:div w:id="644091133">
      <w:bodyDiv w:val="1"/>
      <w:marLeft w:val="0"/>
      <w:marRight w:val="0"/>
      <w:marTop w:val="0"/>
      <w:marBottom w:val="0"/>
      <w:divBdr>
        <w:top w:val="none" w:sz="0" w:space="0" w:color="auto"/>
        <w:left w:val="none" w:sz="0" w:space="0" w:color="auto"/>
        <w:bottom w:val="none" w:sz="0" w:space="0" w:color="auto"/>
        <w:right w:val="none" w:sz="0" w:space="0" w:color="auto"/>
      </w:divBdr>
    </w:div>
    <w:div w:id="692459919">
      <w:bodyDiv w:val="1"/>
      <w:marLeft w:val="0"/>
      <w:marRight w:val="0"/>
      <w:marTop w:val="0"/>
      <w:marBottom w:val="0"/>
      <w:divBdr>
        <w:top w:val="none" w:sz="0" w:space="0" w:color="auto"/>
        <w:left w:val="none" w:sz="0" w:space="0" w:color="auto"/>
        <w:bottom w:val="none" w:sz="0" w:space="0" w:color="auto"/>
        <w:right w:val="none" w:sz="0" w:space="0" w:color="auto"/>
      </w:divBdr>
    </w:div>
    <w:div w:id="704596729">
      <w:bodyDiv w:val="1"/>
      <w:marLeft w:val="0"/>
      <w:marRight w:val="0"/>
      <w:marTop w:val="0"/>
      <w:marBottom w:val="0"/>
      <w:divBdr>
        <w:top w:val="none" w:sz="0" w:space="0" w:color="auto"/>
        <w:left w:val="none" w:sz="0" w:space="0" w:color="auto"/>
        <w:bottom w:val="none" w:sz="0" w:space="0" w:color="auto"/>
        <w:right w:val="none" w:sz="0" w:space="0" w:color="auto"/>
      </w:divBdr>
    </w:div>
    <w:div w:id="754784416">
      <w:bodyDiv w:val="1"/>
      <w:marLeft w:val="0"/>
      <w:marRight w:val="0"/>
      <w:marTop w:val="0"/>
      <w:marBottom w:val="0"/>
      <w:divBdr>
        <w:top w:val="none" w:sz="0" w:space="0" w:color="auto"/>
        <w:left w:val="none" w:sz="0" w:space="0" w:color="auto"/>
        <w:bottom w:val="none" w:sz="0" w:space="0" w:color="auto"/>
        <w:right w:val="none" w:sz="0" w:space="0" w:color="auto"/>
      </w:divBdr>
    </w:div>
    <w:div w:id="813915524">
      <w:bodyDiv w:val="1"/>
      <w:marLeft w:val="0"/>
      <w:marRight w:val="0"/>
      <w:marTop w:val="0"/>
      <w:marBottom w:val="0"/>
      <w:divBdr>
        <w:top w:val="none" w:sz="0" w:space="0" w:color="auto"/>
        <w:left w:val="none" w:sz="0" w:space="0" w:color="auto"/>
        <w:bottom w:val="none" w:sz="0" w:space="0" w:color="auto"/>
        <w:right w:val="none" w:sz="0" w:space="0" w:color="auto"/>
      </w:divBdr>
    </w:div>
    <w:div w:id="817383832">
      <w:bodyDiv w:val="1"/>
      <w:marLeft w:val="0"/>
      <w:marRight w:val="0"/>
      <w:marTop w:val="0"/>
      <w:marBottom w:val="0"/>
      <w:divBdr>
        <w:top w:val="none" w:sz="0" w:space="0" w:color="auto"/>
        <w:left w:val="none" w:sz="0" w:space="0" w:color="auto"/>
        <w:bottom w:val="none" w:sz="0" w:space="0" w:color="auto"/>
        <w:right w:val="none" w:sz="0" w:space="0" w:color="auto"/>
      </w:divBdr>
    </w:div>
    <w:div w:id="831528479">
      <w:bodyDiv w:val="1"/>
      <w:marLeft w:val="0"/>
      <w:marRight w:val="0"/>
      <w:marTop w:val="0"/>
      <w:marBottom w:val="0"/>
      <w:divBdr>
        <w:top w:val="none" w:sz="0" w:space="0" w:color="auto"/>
        <w:left w:val="none" w:sz="0" w:space="0" w:color="auto"/>
        <w:bottom w:val="none" w:sz="0" w:space="0" w:color="auto"/>
        <w:right w:val="none" w:sz="0" w:space="0" w:color="auto"/>
      </w:divBdr>
    </w:div>
    <w:div w:id="864096364">
      <w:bodyDiv w:val="1"/>
      <w:marLeft w:val="0"/>
      <w:marRight w:val="0"/>
      <w:marTop w:val="0"/>
      <w:marBottom w:val="0"/>
      <w:divBdr>
        <w:top w:val="none" w:sz="0" w:space="0" w:color="auto"/>
        <w:left w:val="none" w:sz="0" w:space="0" w:color="auto"/>
        <w:bottom w:val="none" w:sz="0" w:space="0" w:color="auto"/>
        <w:right w:val="none" w:sz="0" w:space="0" w:color="auto"/>
      </w:divBdr>
    </w:div>
    <w:div w:id="875043978">
      <w:bodyDiv w:val="1"/>
      <w:marLeft w:val="0"/>
      <w:marRight w:val="0"/>
      <w:marTop w:val="0"/>
      <w:marBottom w:val="0"/>
      <w:divBdr>
        <w:top w:val="none" w:sz="0" w:space="0" w:color="auto"/>
        <w:left w:val="none" w:sz="0" w:space="0" w:color="auto"/>
        <w:bottom w:val="none" w:sz="0" w:space="0" w:color="auto"/>
        <w:right w:val="none" w:sz="0" w:space="0" w:color="auto"/>
      </w:divBdr>
    </w:div>
    <w:div w:id="944388958">
      <w:bodyDiv w:val="1"/>
      <w:marLeft w:val="0"/>
      <w:marRight w:val="0"/>
      <w:marTop w:val="0"/>
      <w:marBottom w:val="0"/>
      <w:divBdr>
        <w:top w:val="none" w:sz="0" w:space="0" w:color="auto"/>
        <w:left w:val="none" w:sz="0" w:space="0" w:color="auto"/>
        <w:bottom w:val="none" w:sz="0" w:space="0" w:color="auto"/>
        <w:right w:val="none" w:sz="0" w:space="0" w:color="auto"/>
      </w:divBdr>
    </w:div>
    <w:div w:id="1078481937">
      <w:bodyDiv w:val="1"/>
      <w:marLeft w:val="0"/>
      <w:marRight w:val="0"/>
      <w:marTop w:val="0"/>
      <w:marBottom w:val="0"/>
      <w:divBdr>
        <w:top w:val="none" w:sz="0" w:space="0" w:color="auto"/>
        <w:left w:val="none" w:sz="0" w:space="0" w:color="auto"/>
        <w:bottom w:val="none" w:sz="0" w:space="0" w:color="auto"/>
        <w:right w:val="none" w:sz="0" w:space="0" w:color="auto"/>
      </w:divBdr>
    </w:div>
    <w:div w:id="1112746538">
      <w:bodyDiv w:val="1"/>
      <w:marLeft w:val="0"/>
      <w:marRight w:val="0"/>
      <w:marTop w:val="0"/>
      <w:marBottom w:val="0"/>
      <w:divBdr>
        <w:top w:val="none" w:sz="0" w:space="0" w:color="auto"/>
        <w:left w:val="none" w:sz="0" w:space="0" w:color="auto"/>
        <w:bottom w:val="none" w:sz="0" w:space="0" w:color="auto"/>
        <w:right w:val="none" w:sz="0" w:space="0" w:color="auto"/>
      </w:divBdr>
    </w:div>
    <w:div w:id="1114599216">
      <w:bodyDiv w:val="1"/>
      <w:marLeft w:val="0"/>
      <w:marRight w:val="0"/>
      <w:marTop w:val="0"/>
      <w:marBottom w:val="0"/>
      <w:divBdr>
        <w:top w:val="none" w:sz="0" w:space="0" w:color="auto"/>
        <w:left w:val="none" w:sz="0" w:space="0" w:color="auto"/>
        <w:bottom w:val="none" w:sz="0" w:space="0" w:color="auto"/>
        <w:right w:val="none" w:sz="0" w:space="0" w:color="auto"/>
      </w:divBdr>
    </w:div>
    <w:div w:id="1153595133">
      <w:bodyDiv w:val="1"/>
      <w:marLeft w:val="0"/>
      <w:marRight w:val="0"/>
      <w:marTop w:val="0"/>
      <w:marBottom w:val="0"/>
      <w:divBdr>
        <w:top w:val="none" w:sz="0" w:space="0" w:color="auto"/>
        <w:left w:val="none" w:sz="0" w:space="0" w:color="auto"/>
        <w:bottom w:val="none" w:sz="0" w:space="0" w:color="auto"/>
        <w:right w:val="none" w:sz="0" w:space="0" w:color="auto"/>
      </w:divBdr>
    </w:div>
    <w:div w:id="1162965205">
      <w:bodyDiv w:val="1"/>
      <w:marLeft w:val="0"/>
      <w:marRight w:val="0"/>
      <w:marTop w:val="0"/>
      <w:marBottom w:val="0"/>
      <w:divBdr>
        <w:top w:val="none" w:sz="0" w:space="0" w:color="auto"/>
        <w:left w:val="none" w:sz="0" w:space="0" w:color="auto"/>
        <w:bottom w:val="none" w:sz="0" w:space="0" w:color="auto"/>
        <w:right w:val="none" w:sz="0" w:space="0" w:color="auto"/>
      </w:divBdr>
    </w:div>
    <w:div w:id="1163352201">
      <w:bodyDiv w:val="1"/>
      <w:marLeft w:val="0"/>
      <w:marRight w:val="0"/>
      <w:marTop w:val="0"/>
      <w:marBottom w:val="0"/>
      <w:divBdr>
        <w:top w:val="none" w:sz="0" w:space="0" w:color="auto"/>
        <w:left w:val="none" w:sz="0" w:space="0" w:color="auto"/>
        <w:bottom w:val="none" w:sz="0" w:space="0" w:color="auto"/>
        <w:right w:val="none" w:sz="0" w:space="0" w:color="auto"/>
      </w:divBdr>
    </w:div>
    <w:div w:id="1220357205">
      <w:bodyDiv w:val="1"/>
      <w:marLeft w:val="0"/>
      <w:marRight w:val="0"/>
      <w:marTop w:val="0"/>
      <w:marBottom w:val="0"/>
      <w:divBdr>
        <w:top w:val="none" w:sz="0" w:space="0" w:color="auto"/>
        <w:left w:val="none" w:sz="0" w:space="0" w:color="auto"/>
        <w:bottom w:val="none" w:sz="0" w:space="0" w:color="auto"/>
        <w:right w:val="none" w:sz="0" w:space="0" w:color="auto"/>
      </w:divBdr>
    </w:div>
    <w:div w:id="1270695417">
      <w:bodyDiv w:val="1"/>
      <w:marLeft w:val="0"/>
      <w:marRight w:val="0"/>
      <w:marTop w:val="0"/>
      <w:marBottom w:val="0"/>
      <w:divBdr>
        <w:top w:val="none" w:sz="0" w:space="0" w:color="auto"/>
        <w:left w:val="none" w:sz="0" w:space="0" w:color="auto"/>
        <w:bottom w:val="none" w:sz="0" w:space="0" w:color="auto"/>
        <w:right w:val="none" w:sz="0" w:space="0" w:color="auto"/>
      </w:divBdr>
    </w:div>
    <w:div w:id="1282763680">
      <w:bodyDiv w:val="1"/>
      <w:marLeft w:val="0"/>
      <w:marRight w:val="0"/>
      <w:marTop w:val="0"/>
      <w:marBottom w:val="0"/>
      <w:divBdr>
        <w:top w:val="none" w:sz="0" w:space="0" w:color="auto"/>
        <w:left w:val="none" w:sz="0" w:space="0" w:color="auto"/>
        <w:bottom w:val="none" w:sz="0" w:space="0" w:color="auto"/>
        <w:right w:val="none" w:sz="0" w:space="0" w:color="auto"/>
      </w:divBdr>
    </w:div>
    <w:div w:id="1295519853">
      <w:bodyDiv w:val="1"/>
      <w:marLeft w:val="0"/>
      <w:marRight w:val="0"/>
      <w:marTop w:val="0"/>
      <w:marBottom w:val="0"/>
      <w:divBdr>
        <w:top w:val="none" w:sz="0" w:space="0" w:color="auto"/>
        <w:left w:val="none" w:sz="0" w:space="0" w:color="auto"/>
        <w:bottom w:val="none" w:sz="0" w:space="0" w:color="auto"/>
        <w:right w:val="none" w:sz="0" w:space="0" w:color="auto"/>
      </w:divBdr>
    </w:div>
    <w:div w:id="1336418020">
      <w:bodyDiv w:val="1"/>
      <w:marLeft w:val="0"/>
      <w:marRight w:val="0"/>
      <w:marTop w:val="0"/>
      <w:marBottom w:val="0"/>
      <w:divBdr>
        <w:top w:val="none" w:sz="0" w:space="0" w:color="auto"/>
        <w:left w:val="none" w:sz="0" w:space="0" w:color="auto"/>
        <w:bottom w:val="none" w:sz="0" w:space="0" w:color="auto"/>
        <w:right w:val="none" w:sz="0" w:space="0" w:color="auto"/>
      </w:divBdr>
    </w:div>
    <w:div w:id="1399476367">
      <w:bodyDiv w:val="1"/>
      <w:marLeft w:val="0"/>
      <w:marRight w:val="0"/>
      <w:marTop w:val="0"/>
      <w:marBottom w:val="0"/>
      <w:divBdr>
        <w:top w:val="none" w:sz="0" w:space="0" w:color="auto"/>
        <w:left w:val="none" w:sz="0" w:space="0" w:color="auto"/>
        <w:bottom w:val="none" w:sz="0" w:space="0" w:color="auto"/>
        <w:right w:val="none" w:sz="0" w:space="0" w:color="auto"/>
      </w:divBdr>
    </w:div>
    <w:div w:id="1420062745">
      <w:bodyDiv w:val="1"/>
      <w:marLeft w:val="0"/>
      <w:marRight w:val="0"/>
      <w:marTop w:val="0"/>
      <w:marBottom w:val="0"/>
      <w:divBdr>
        <w:top w:val="none" w:sz="0" w:space="0" w:color="auto"/>
        <w:left w:val="none" w:sz="0" w:space="0" w:color="auto"/>
        <w:bottom w:val="none" w:sz="0" w:space="0" w:color="auto"/>
        <w:right w:val="none" w:sz="0" w:space="0" w:color="auto"/>
      </w:divBdr>
    </w:div>
    <w:div w:id="1465393855">
      <w:bodyDiv w:val="1"/>
      <w:marLeft w:val="0"/>
      <w:marRight w:val="0"/>
      <w:marTop w:val="0"/>
      <w:marBottom w:val="0"/>
      <w:divBdr>
        <w:top w:val="none" w:sz="0" w:space="0" w:color="auto"/>
        <w:left w:val="none" w:sz="0" w:space="0" w:color="auto"/>
        <w:bottom w:val="none" w:sz="0" w:space="0" w:color="auto"/>
        <w:right w:val="none" w:sz="0" w:space="0" w:color="auto"/>
      </w:divBdr>
    </w:div>
    <w:div w:id="1522088410">
      <w:bodyDiv w:val="1"/>
      <w:marLeft w:val="0"/>
      <w:marRight w:val="0"/>
      <w:marTop w:val="0"/>
      <w:marBottom w:val="0"/>
      <w:divBdr>
        <w:top w:val="none" w:sz="0" w:space="0" w:color="auto"/>
        <w:left w:val="none" w:sz="0" w:space="0" w:color="auto"/>
        <w:bottom w:val="none" w:sz="0" w:space="0" w:color="auto"/>
        <w:right w:val="none" w:sz="0" w:space="0" w:color="auto"/>
      </w:divBdr>
    </w:div>
    <w:div w:id="1536038767">
      <w:bodyDiv w:val="1"/>
      <w:marLeft w:val="0"/>
      <w:marRight w:val="0"/>
      <w:marTop w:val="0"/>
      <w:marBottom w:val="0"/>
      <w:divBdr>
        <w:top w:val="none" w:sz="0" w:space="0" w:color="auto"/>
        <w:left w:val="none" w:sz="0" w:space="0" w:color="auto"/>
        <w:bottom w:val="none" w:sz="0" w:space="0" w:color="auto"/>
        <w:right w:val="none" w:sz="0" w:space="0" w:color="auto"/>
      </w:divBdr>
    </w:div>
    <w:div w:id="1537229880">
      <w:bodyDiv w:val="1"/>
      <w:marLeft w:val="0"/>
      <w:marRight w:val="0"/>
      <w:marTop w:val="0"/>
      <w:marBottom w:val="0"/>
      <w:divBdr>
        <w:top w:val="none" w:sz="0" w:space="0" w:color="auto"/>
        <w:left w:val="none" w:sz="0" w:space="0" w:color="auto"/>
        <w:bottom w:val="none" w:sz="0" w:space="0" w:color="auto"/>
        <w:right w:val="none" w:sz="0" w:space="0" w:color="auto"/>
      </w:divBdr>
    </w:div>
    <w:div w:id="1587884083">
      <w:bodyDiv w:val="1"/>
      <w:marLeft w:val="0"/>
      <w:marRight w:val="0"/>
      <w:marTop w:val="0"/>
      <w:marBottom w:val="0"/>
      <w:divBdr>
        <w:top w:val="none" w:sz="0" w:space="0" w:color="auto"/>
        <w:left w:val="none" w:sz="0" w:space="0" w:color="auto"/>
        <w:bottom w:val="none" w:sz="0" w:space="0" w:color="auto"/>
        <w:right w:val="none" w:sz="0" w:space="0" w:color="auto"/>
      </w:divBdr>
    </w:div>
    <w:div w:id="1678146295">
      <w:bodyDiv w:val="1"/>
      <w:marLeft w:val="0"/>
      <w:marRight w:val="0"/>
      <w:marTop w:val="0"/>
      <w:marBottom w:val="0"/>
      <w:divBdr>
        <w:top w:val="none" w:sz="0" w:space="0" w:color="auto"/>
        <w:left w:val="none" w:sz="0" w:space="0" w:color="auto"/>
        <w:bottom w:val="none" w:sz="0" w:space="0" w:color="auto"/>
        <w:right w:val="none" w:sz="0" w:space="0" w:color="auto"/>
      </w:divBdr>
    </w:div>
    <w:div w:id="1689328154">
      <w:bodyDiv w:val="1"/>
      <w:marLeft w:val="0"/>
      <w:marRight w:val="0"/>
      <w:marTop w:val="0"/>
      <w:marBottom w:val="0"/>
      <w:divBdr>
        <w:top w:val="none" w:sz="0" w:space="0" w:color="auto"/>
        <w:left w:val="none" w:sz="0" w:space="0" w:color="auto"/>
        <w:bottom w:val="none" w:sz="0" w:space="0" w:color="auto"/>
        <w:right w:val="none" w:sz="0" w:space="0" w:color="auto"/>
      </w:divBdr>
    </w:div>
    <w:div w:id="1699312407">
      <w:bodyDiv w:val="1"/>
      <w:marLeft w:val="0"/>
      <w:marRight w:val="0"/>
      <w:marTop w:val="0"/>
      <w:marBottom w:val="0"/>
      <w:divBdr>
        <w:top w:val="none" w:sz="0" w:space="0" w:color="auto"/>
        <w:left w:val="none" w:sz="0" w:space="0" w:color="auto"/>
        <w:bottom w:val="none" w:sz="0" w:space="0" w:color="auto"/>
        <w:right w:val="none" w:sz="0" w:space="0" w:color="auto"/>
      </w:divBdr>
    </w:div>
    <w:div w:id="1699895820">
      <w:bodyDiv w:val="1"/>
      <w:marLeft w:val="0"/>
      <w:marRight w:val="0"/>
      <w:marTop w:val="0"/>
      <w:marBottom w:val="0"/>
      <w:divBdr>
        <w:top w:val="none" w:sz="0" w:space="0" w:color="auto"/>
        <w:left w:val="none" w:sz="0" w:space="0" w:color="auto"/>
        <w:bottom w:val="none" w:sz="0" w:space="0" w:color="auto"/>
        <w:right w:val="none" w:sz="0" w:space="0" w:color="auto"/>
      </w:divBdr>
    </w:div>
    <w:div w:id="1725328910">
      <w:bodyDiv w:val="1"/>
      <w:marLeft w:val="0"/>
      <w:marRight w:val="0"/>
      <w:marTop w:val="0"/>
      <w:marBottom w:val="0"/>
      <w:divBdr>
        <w:top w:val="none" w:sz="0" w:space="0" w:color="auto"/>
        <w:left w:val="none" w:sz="0" w:space="0" w:color="auto"/>
        <w:bottom w:val="none" w:sz="0" w:space="0" w:color="auto"/>
        <w:right w:val="none" w:sz="0" w:space="0" w:color="auto"/>
      </w:divBdr>
    </w:div>
    <w:div w:id="1731226646">
      <w:bodyDiv w:val="1"/>
      <w:marLeft w:val="0"/>
      <w:marRight w:val="0"/>
      <w:marTop w:val="0"/>
      <w:marBottom w:val="0"/>
      <w:divBdr>
        <w:top w:val="none" w:sz="0" w:space="0" w:color="auto"/>
        <w:left w:val="none" w:sz="0" w:space="0" w:color="auto"/>
        <w:bottom w:val="none" w:sz="0" w:space="0" w:color="auto"/>
        <w:right w:val="none" w:sz="0" w:space="0" w:color="auto"/>
      </w:divBdr>
    </w:div>
    <w:div w:id="1739748724">
      <w:bodyDiv w:val="1"/>
      <w:marLeft w:val="0"/>
      <w:marRight w:val="0"/>
      <w:marTop w:val="0"/>
      <w:marBottom w:val="0"/>
      <w:divBdr>
        <w:top w:val="none" w:sz="0" w:space="0" w:color="auto"/>
        <w:left w:val="none" w:sz="0" w:space="0" w:color="auto"/>
        <w:bottom w:val="none" w:sz="0" w:space="0" w:color="auto"/>
        <w:right w:val="none" w:sz="0" w:space="0" w:color="auto"/>
      </w:divBdr>
    </w:div>
    <w:div w:id="1750273472">
      <w:bodyDiv w:val="1"/>
      <w:marLeft w:val="0"/>
      <w:marRight w:val="0"/>
      <w:marTop w:val="0"/>
      <w:marBottom w:val="0"/>
      <w:divBdr>
        <w:top w:val="none" w:sz="0" w:space="0" w:color="auto"/>
        <w:left w:val="none" w:sz="0" w:space="0" w:color="auto"/>
        <w:bottom w:val="none" w:sz="0" w:space="0" w:color="auto"/>
        <w:right w:val="none" w:sz="0" w:space="0" w:color="auto"/>
      </w:divBdr>
    </w:div>
    <w:div w:id="1752117379">
      <w:bodyDiv w:val="1"/>
      <w:marLeft w:val="0"/>
      <w:marRight w:val="0"/>
      <w:marTop w:val="0"/>
      <w:marBottom w:val="0"/>
      <w:divBdr>
        <w:top w:val="none" w:sz="0" w:space="0" w:color="auto"/>
        <w:left w:val="none" w:sz="0" w:space="0" w:color="auto"/>
        <w:bottom w:val="none" w:sz="0" w:space="0" w:color="auto"/>
        <w:right w:val="none" w:sz="0" w:space="0" w:color="auto"/>
      </w:divBdr>
    </w:div>
    <w:div w:id="1816990299">
      <w:bodyDiv w:val="1"/>
      <w:marLeft w:val="0"/>
      <w:marRight w:val="0"/>
      <w:marTop w:val="0"/>
      <w:marBottom w:val="0"/>
      <w:divBdr>
        <w:top w:val="none" w:sz="0" w:space="0" w:color="auto"/>
        <w:left w:val="none" w:sz="0" w:space="0" w:color="auto"/>
        <w:bottom w:val="none" w:sz="0" w:space="0" w:color="auto"/>
        <w:right w:val="none" w:sz="0" w:space="0" w:color="auto"/>
      </w:divBdr>
    </w:div>
    <w:div w:id="1826238375">
      <w:bodyDiv w:val="1"/>
      <w:marLeft w:val="0"/>
      <w:marRight w:val="0"/>
      <w:marTop w:val="0"/>
      <w:marBottom w:val="0"/>
      <w:divBdr>
        <w:top w:val="none" w:sz="0" w:space="0" w:color="auto"/>
        <w:left w:val="none" w:sz="0" w:space="0" w:color="auto"/>
        <w:bottom w:val="none" w:sz="0" w:space="0" w:color="auto"/>
        <w:right w:val="none" w:sz="0" w:space="0" w:color="auto"/>
      </w:divBdr>
    </w:div>
    <w:div w:id="1861116469">
      <w:bodyDiv w:val="1"/>
      <w:marLeft w:val="0"/>
      <w:marRight w:val="0"/>
      <w:marTop w:val="0"/>
      <w:marBottom w:val="0"/>
      <w:divBdr>
        <w:top w:val="none" w:sz="0" w:space="0" w:color="auto"/>
        <w:left w:val="none" w:sz="0" w:space="0" w:color="auto"/>
        <w:bottom w:val="none" w:sz="0" w:space="0" w:color="auto"/>
        <w:right w:val="none" w:sz="0" w:space="0" w:color="auto"/>
      </w:divBdr>
    </w:div>
    <w:div w:id="1876917636">
      <w:bodyDiv w:val="1"/>
      <w:marLeft w:val="0"/>
      <w:marRight w:val="0"/>
      <w:marTop w:val="0"/>
      <w:marBottom w:val="0"/>
      <w:divBdr>
        <w:top w:val="none" w:sz="0" w:space="0" w:color="auto"/>
        <w:left w:val="none" w:sz="0" w:space="0" w:color="auto"/>
        <w:bottom w:val="none" w:sz="0" w:space="0" w:color="auto"/>
        <w:right w:val="none" w:sz="0" w:space="0" w:color="auto"/>
      </w:divBdr>
    </w:div>
    <w:div w:id="2009207414">
      <w:bodyDiv w:val="1"/>
      <w:marLeft w:val="0"/>
      <w:marRight w:val="0"/>
      <w:marTop w:val="0"/>
      <w:marBottom w:val="0"/>
      <w:divBdr>
        <w:top w:val="none" w:sz="0" w:space="0" w:color="auto"/>
        <w:left w:val="none" w:sz="0" w:space="0" w:color="auto"/>
        <w:bottom w:val="none" w:sz="0" w:space="0" w:color="auto"/>
        <w:right w:val="none" w:sz="0" w:space="0" w:color="auto"/>
      </w:divBdr>
    </w:div>
    <w:div w:id="2029983807">
      <w:bodyDiv w:val="1"/>
      <w:marLeft w:val="0"/>
      <w:marRight w:val="0"/>
      <w:marTop w:val="0"/>
      <w:marBottom w:val="0"/>
      <w:divBdr>
        <w:top w:val="none" w:sz="0" w:space="0" w:color="auto"/>
        <w:left w:val="none" w:sz="0" w:space="0" w:color="auto"/>
        <w:bottom w:val="none" w:sz="0" w:space="0" w:color="auto"/>
        <w:right w:val="none" w:sz="0" w:space="0" w:color="auto"/>
      </w:divBdr>
    </w:div>
    <w:div w:id="2116292752">
      <w:bodyDiv w:val="1"/>
      <w:marLeft w:val="0"/>
      <w:marRight w:val="0"/>
      <w:marTop w:val="0"/>
      <w:marBottom w:val="0"/>
      <w:divBdr>
        <w:top w:val="none" w:sz="0" w:space="0" w:color="auto"/>
        <w:left w:val="none" w:sz="0" w:space="0" w:color="auto"/>
        <w:bottom w:val="none" w:sz="0" w:space="0" w:color="auto"/>
        <w:right w:val="none" w:sz="0" w:space="0" w:color="auto"/>
      </w:divBdr>
    </w:div>
    <w:div w:id="212526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sldb2011/redakce.nsf/i/narizeni_komise_eu_519_2010/$File/Narizeni_komise_519_2010_cz.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czso.cz/sldb2011/redakce.nsf/i/narizeni_komise_eu_519_2010/$File/Narizeni_komise_519_2010_cz.pdf" TargetMode="External"/><Relationship Id="rId2" Type="http://schemas.openxmlformats.org/officeDocument/2006/relationships/hyperlink" Target="http://www.czso.cz/sldb2011/redakce.nsf/i/narizeni_komise_es_1201_2009/$File/Narizeni_komise_1201_2009_cz.pdf" TargetMode="External"/><Relationship Id="rId1" Type="http://schemas.openxmlformats.org/officeDocument/2006/relationships/hyperlink" Target="http://www.czso.cz/sldb2011/redakce.nsf/i/narizeni_evropskeho_parlamentu_a_rady_es_c_763_2008/$File/sldb_ep.pdf" TargetMode="External"/><Relationship Id="rId4" Type="http://schemas.openxmlformats.org/officeDocument/2006/relationships/hyperlink" Target="http://www.czso.cz/sldb2011/redakce.nsf/i/narizeni_komise_eu_1151_2010/$File/Narizeni_komise_1151_2010_cz.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5A2B-FDB9-4982-8214-AEE45F827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7722</Words>
  <Characters>45560</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53176</CharactersWithSpaces>
  <SharedDoc>false</SharedDoc>
  <HLinks>
    <vt:vector size="138" baseType="variant">
      <vt:variant>
        <vt:i4>1900574</vt:i4>
      </vt:variant>
      <vt:variant>
        <vt:i4>129</vt:i4>
      </vt:variant>
      <vt:variant>
        <vt:i4>0</vt:i4>
      </vt:variant>
      <vt:variant>
        <vt:i4>5</vt:i4>
      </vt:variant>
      <vt:variant>
        <vt:lpwstr>http://cs.wikipedia.org/wiki/1652</vt:lpwstr>
      </vt:variant>
      <vt:variant>
        <vt:lpwstr/>
      </vt:variant>
      <vt:variant>
        <vt:i4>2818088</vt:i4>
      </vt:variant>
      <vt:variant>
        <vt:i4>126</vt:i4>
      </vt:variant>
      <vt:variant>
        <vt:i4>0</vt:i4>
      </vt:variant>
      <vt:variant>
        <vt:i4>5</vt:i4>
      </vt:variant>
      <vt:variant>
        <vt:lpwstr>http://cs.wikipedia.org/wiki/2</vt:lpwstr>
      </vt:variant>
      <vt:variant>
        <vt:lpwstr/>
      </vt:variant>
      <vt:variant>
        <vt:i4>5242915</vt:i4>
      </vt:variant>
      <vt:variant>
        <vt:i4>123</vt:i4>
      </vt:variant>
      <vt:variant>
        <vt:i4>0</vt:i4>
      </vt:variant>
      <vt:variant>
        <vt:i4>5</vt:i4>
      </vt:variant>
      <vt:variant>
        <vt:lpwstr>http://cs.wikipedia.org/wiki/Dynastie_Chan</vt:lpwstr>
      </vt:variant>
      <vt:variant>
        <vt:lpwstr/>
      </vt:variant>
      <vt:variant>
        <vt:i4>1245246</vt:i4>
      </vt:variant>
      <vt:variant>
        <vt:i4>116</vt:i4>
      </vt:variant>
      <vt:variant>
        <vt:i4>0</vt:i4>
      </vt:variant>
      <vt:variant>
        <vt:i4>5</vt:i4>
      </vt:variant>
      <vt:variant>
        <vt:lpwstr/>
      </vt:variant>
      <vt:variant>
        <vt:lpwstr>_Toc356387356</vt:lpwstr>
      </vt:variant>
      <vt:variant>
        <vt:i4>1245246</vt:i4>
      </vt:variant>
      <vt:variant>
        <vt:i4>110</vt:i4>
      </vt:variant>
      <vt:variant>
        <vt:i4>0</vt:i4>
      </vt:variant>
      <vt:variant>
        <vt:i4>5</vt:i4>
      </vt:variant>
      <vt:variant>
        <vt:lpwstr/>
      </vt:variant>
      <vt:variant>
        <vt:lpwstr>_Toc356387355</vt:lpwstr>
      </vt:variant>
      <vt:variant>
        <vt:i4>1245246</vt:i4>
      </vt:variant>
      <vt:variant>
        <vt:i4>104</vt:i4>
      </vt:variant>
      <vt:variant>
        <vt:i4>0</vt:i4>
      </vt:variant>
      <vt:variant>
        <vt:i4>5</vt:i4>
      </vt:variant>
      <vt:variant>
        <vt:lpwstr/>
      </vt:variant>
      <vt:variant>
        <vt:lpwstr>_Toc356387354</vt:lpwstr>
      </vt:variant>
      <vt:variant>
        <vt:i4>1245246</vt:i4>
      </vt:variant>
      <vt:variant>
        <vt:i4>98</vt:i4>
      </vt:variant>
      <vt:variant>
        <vt:i4>0</vt:i4>
      </vt:variant>
      <vt:variant>
        <vt:i4>5</vt:i4>
      </vt:variant>
      <vt:variant>
        <vt:lpwstr/>
      </vt:variant>
      <vt:variant>
        <vt:lpwstr>_Toc356387353</vt:lpwstr>
      </vt:variant>
      <vt:variant>
        <vt:i4>1245246</vt:i4>
      </vt:variant>
      <vt:variant>
        <vt:i4>92</vt:i4>
      </vt:variant>
      <vt:variant>
        <vt:i4>0</vt:i4>
      </vt:variant>
      <vt:variant>
        <vt:i4>5</vt:i4>
      </vt:variant>
      <vt:variant>
        <vt:lpwstr/>
      </vt:variant>
      <vt:variant>
        <vt:lpwstr>_Toc356387352</vt:lpwstr>
      </vt:variant>
      <vt:variant>
        <vt:i4>1245246</vt:i4>
      </vt:variant>
      <vt:variant>
        <vt:i4>86</vt:i4>
      </vt:variant>
      <vt:variant>
        <vt:i4>0</vt:i4>
      </vt:variant>
      <vt:variant>
        <vt:i4>5</vt:i4>
      </vt:variant>
      <vt:variant>
        <vt:lpwstr/>
      </vt:variant>
      <vt:variant>
        <vt:lpwstr>_Toc356387351</vt:lpwstr>
      </vt:variant>
      <vt:variant>
        <vt:i4>1245246</vt:i4>
      </vt:variant>
      <vt:variant>
        <vt:i4>80</vt:i4>
      </vt:variant>
      <vt:variant>
        <vt:i4>0</vt:i4>
      </vt:variant>
      <vt:variant>
        <vt:i4>5</vt:i4>
      </vt:variant>
      <vt:variant>
        <vt:lpwstr/>
      </vt:variant>
      <vt:variant>
        <vt:lpwstr>_Toc356387350</vt:lpwstr>
      </vt:variant>
      <vt:variant>
        <vt:i4>1179710</vt:i4>
      </vt:variant>
      <vt:variant>
        <vt:i4>74</vt:i4>
      </vt:variant>
      <vt:variant>
        <vt:i4>0</vt:i4>
      </vt:variant>
      <vt:variant>
        <vt:i4>5</vt:i4>
      </vt:variant>
      <vt:variant>
        <vt:lpwstr/>
      </vt:variant>
      <vt:variant>
        <vt:lpwstr>_Toc356387349</vt:lpwstr>
      </vt:variant>
      <vt:variant>
        <vt:i4>1179710</vt:i4>
      </vt:variant>
      <vt:variant>
        <vt:i4>68</vt:i4>
      </vt:variant>
      <vt:variant>
        <vt:i4>0</vt:i4>
      </vt:variant>
      <vt:variant>
        <vt:i4>5</vt:i4>
      </vt:variant>
      <vt:variant>
        <vt:lpwstr/>
      </vt:variant>
      <vt:variant>
        <vt:lpwstr>_Toc356387348</vt:lpwstr>
      </vt:variant>
      <vt:variant>
        <vt:i4>1179710</vt:i4>
      </vt:variant>
      <vt:variant>
        <vt:i4>62</vt:i4>
      </vt:variant>
      <vt:variant>
        <vt:i4>0</vt:i4>
      </vt:variant>
      <vt:variant>
        <vt:i4>5</vt:i4>
      </vt:variant>
      <vt:variant>
        <vt:lpwstr/>
      </vt:variant>
      <vt:variant>
        <vt:lpwstr>_Toc356387347</vt:lpwstr>
      </vt:variant>
      <vt:variant>
        <vt:i4>1179710</vt:i4>
      </vt:variant>
      <vt:variant>
        <vt:i4>56</vt:i4>
      </vt:variant>
      <vt:variant>
        <vt:i4>0</vt:i4>
      </vt:variant>
      <vt:variant>
        <vt:i4>5</vt:i4>
      </vt:variant>
      <vt:variant>
        <vt:lpwstr/>
      </vt:variant>
      <vt:variant>
        <vt:lpwstr>_Toc356387346</vt:lpwstr>
      </vt:variant>
      <vt:variant>
        <vt:i4>1179710</vt:i4>
      </vt:variant>
      <vt:variant>
        <vt:i4>50</vt:i4>
      </vt:variant>
      <vt:variant>
        <vt:i4>0</vt:i4>
      </vt:variant>
      <vt:variant>
        <vt:i4>5</vt:i4>
      </vt:variant>
      <vt:variant>
        <vt:lpwstr/>
      </vt:variant>
      <vt:variant>
        <vt:lpwstr>_Toc356387345</vt:lpwstr>
      </vt:variant>
      <vt:variant>
        <vt:i4>1179710</vt:i4>
      </vt:variant>
      <vt:variant>
        <vt:i4>44</vt:i4>
      </vt:variant>
      <vt:variant>
        <vt:i4>0</vt:i4>
      </vt:variant>
      <vt:variant>
        <vt:i4>5</vt:i4>
      </vt:variant>
      <vt:variant>
        <vt:lpwstr/>
      </vt:variant>
      <vt:variant>
        <vt:lpwstr>_Toc356387344</vt:lpwstr>
      </vt:variant>
      <vt:variant>
        <vt:i4>1179710</vt:i4>
      </vt:variant>
      <vt:variant>
        <vt:i4>38</vt:i4>
      </vt:variant>
      <vt:variant>
        <vt:i4>0</vt:i4>
      </vt:variant>
      <vt:variant>
        <vt:i4>5</vt:i4>
      </vt:variant>
      <vt:variant>
        <vt:lpwstr/>
      </vt:variant>
      <vt:variant>
        <vt:lpwstr>_Toc356387343</vt:lpwstr>
      </vt:variant>
      <vt:variant>
        <vt:i4>1179710</vt:i4>
      </vt:variant>
      <vt:variant>
        <vt:i4>32</vt:i4>
      </vt:variant>
      <vt:variant>
        <vt:i4>0</vt:i4>
      </vt:variant>
      <vt:variant>
        <vt:i4>5</vt:i4>
      </vt:variant>
      <vt:variant>
        <vt:lpwstr/>
      </vt:variant>
      <vt:variant>
        <vt:lpwstr>_Toc356387342</vt:lpwstr>
      </vt:variant>
      <vt:variant>
        <vt:i4>1179710</vt:i4>
      </vt:variant>
      <vt:variant>
        <vt:i4>26</vt:i4>
      </vt:variant>
      <vt:variant>
        <vt:i4>0</vt:i4>
      </vt:variant>
      <vt:variant>
        <vt:i4>5</vt:i4>
      </vt:variant>
      <vt:variant>
        <vt:lpwstr/>
      </vt:variant>
      <vt:variant>
        <vt:lpwstr>_Toc356387341</vt:lpwstr>
      </vt:variant>
      <vt:variant>
        <vt:i4>1179710</vt:i4>
      </vt:variant>
      <vt:variant>
        <vt:i4>20</vt:i4>
      </vt:variant>
      <vt:variant>
        <vt:i4>0</vt:i4>
      </vt:variant>
      <vt:variant>
        <vt:i4>5</vt:i4>
      </vt:variant>
      <vt:variant>
        <vt:lpwstr/>
      </vt:variant>
      <vt:variant>
        <vt:lpwstr>_Toc356387340</vt:lpwstr>
      </vt:variant>
      <vt:variant>
        <vt:i4>1376318</vt:i4>
      </vt:variant>
      <vt:variant>
        <vt:i4>14</vt:i4>
      </vt:variant>
      <vt:variant>
        <vt:i4>0</vt:i4>
      </vt:variant>
      <vt:variant>
        <vt:i4>5</vt:i4>
      </vt:variant>
      <vt:variant>
        <vt:lpwstr/>
      </vt:variant>
      <vt:variant>
        <vt:lpwstr>_Toc356387339</vt:lpwstr>
      </vt:variant>
      <vt:variant>
        <vt:i4>1376318</vt:i4>
      </vt:variant>
      <vt:variant>
        <vt:i4>8</vt:i4>
      </vt:variant>
      <vt:variant>
        <vt:i4>0</vt:i4>
      </vt:variant>
      <vt:variant>
        <vt:i4>5</vt:i4>
      </vt:variant>
      <vt:variant>
        <vt:lpwstr/>
      </vt:variant>
      <vt:variant>
        <vt:lpwstr>_Toc356387338</vt:lpwstr>
      </vt:variant>
      <vt:variant>
        <vt:i4>1376318</vt:i4>
      </vt:variant>
      <vt:variant>
        <vt:i4>2</vt:i4>
      </vt:variant>
      <vt:variant>
        <vt:i4>0</vt:i4>
      </vt:variant>
      <vt:variant>
        <vt:i4>5</vt:i4>
      </vt:variant>
      <vt:variant>
        <vt:lpwstr/>
      </vt:variant>
      <vt:variant>
        <vt:lpwstr>_Toc356387337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System Service</dc:creator>
  <cp:keywords/>
  <dc:description/>
  <cp:lastModifiedBy>System Service</cp:lastModifiedBy>
  <cp:revision>3</cp:revision>
  <cp:lastPrinted>2013-11-12T07:39:00Z</cp:lastPrinted>
  <dcterms:created xsi:type="dcterms:W3CDTF">2013-11-13T12:07:00Z</dcterms:created>
  <dcterms:modified xsi:type="dcterms:W3CDTF">2013-11-18T11:39:00Z</dcterms:modified>
</cp:coreProperties>
</file>